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ՏԵՍԱԼՍՈՂԱԿԱՆ ՄԵԴԻԱՅԻ ՄԱՍԻՆ ՕՐԵՆՔՈՒՄ ԼՐԱՑՈՒՄ ԿԱՏԱՐԵԼՈՒ ՄԱՍԻՆ</w:t>
      </w:r>
      <w:bookmarkEnd w:id="0"/>
    </w:p>
    <w:p>
      <w:pPr>
        <w:jc w:val="center"/>
        <w:ind w:left="0" w:right="0" w:firstLine="20"/>
        <w:spacing w:after="0" w:line="360" w:lineRule="auto"/>
      </w:pPr>
      <w:r>
        <w:rPr>
          <w:rFonts w:ascii="'GHEA Grapalat'" w:hAnsi="'GHEA Grapalat'" w:eastAsia="'GHEA Grapalat'" w:cs="'GHEA Grapalat'"/>
          <w:color w:val="red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ru-RU"/>
          <w:sz w:val="24"/>
          <w:szCs w:val="24"/>
          <w:b w:val="1"/>
          <w:bCs w:val="1"/>
        </w:rPr>
        <w:t xml:space="preserve">ՀԱՅԱՍՏԱՆԻ ՀԱՆՐԱՊԵՏՈՒԹՅԱՆ</w:t>
      </w:r>
      <w:r>
        <w:rPr>
          <w:rFonts w:ascii="'GHEA Grapalat'" w:hAnsi="'GHEA Grapalat'" w:eastAsia="'GHEA Grapalat'" w:cs="'GHEA Grapalat'"/>
          <w:lang w:val="ru-RU"/>
          <w:sz w:val="24"/>
          <w:szCs w:val="24"/>
          <w:b w:val="1"/>
          <w:bCs w:val="1"/>
        </w:rPr>
        <w:t xml:space="preserve"> </w:t>
      </w:r>
    </w:p>
    <w:p>
      <w:pPr>
        <w:jc w:val="center"/>
        <w:ind w:left="0" w:right="0" w:firstLine="20"/>
        <w:spacing w:after="0" w:line="360" w:lineRule="auto"/>
      </w:pPr>
      <w:r>
        <w:rPr>
          <w:rFonts w:ascii="'GHEA Grapalat'" w:hAnsi="'GHEA Grapalat'" w:eastAsia="'GHEA Grapalat'" w:cs="'GHEA Grapalat'"/>
          <w:lang w:val="ru-RU"/>
          <w:sz w:val="24"/>
          <w:szCs w:val="24"/>
          <w:b w:val="1"/>
          <w:bCs w:val="1"/>
        </w:rPr>
        <w:t xml:space="preserve">ՕՐԵՆՔԸ</w:t>
      </w:r>
      <w:r>
        <w:rPr>
          <w:rFonts w:ascii="'GHEA Grapalat'" w:hAnsi="'GHEA Grapalat'" w:eastAsia="'GHEA Grapalat'" w:cs="'GHEA Grapalat'"/>
          <w:lang w:val="ru-RU"/>
          <w:sz w:val="24"/>
          <w:szCs w:val="24"/>
          <w:b w:val="1"/>
          <w:bCs w:val="1"/>
        </w:rPr>
        <w:t xml:space="preserve"> </w:t>
      </w:r>
    </w:p>
    <w:p>
      <w:pPr>
        <w:jc w:val="center"/>
        <w:ind w:left="0" w:right="0" w:firstLine="20"/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ՏԵՍԱԼՍՈՂԱԿԱՆ ՄԵԴԻԱՅԻ ՄԱՍԻՆ ՕՐԵՆՔՈՒՄ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ru-RU"/>
          <w:sz w:val="24"/>
          <w:szCs w:val="24"/>
          <w:b w:val="1"/>
          <w:bCs w:val="1"/>
        </w:rPr>
        <w:t xml:space="preserve">ԼՐԱՑՈՒՄ</w:t>
      </w:r>
      <w:r>
        <w:rPr>
          <w:rFonts w:ascii="'GHEA Grapalat'" w:hAnsi="'GHEA Grapalat'" w:eastAsia="'GHEA Grapalat'" w:cs="'GHEA Grapalat'"/>
          <w:lang w:val="ru-RU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ru-RU"/>
          <w:sz w:val="24"/>
          <w:szCs w:val="24"/>
          <w:b w:val="1"/>
          <w:bCs w:val="1"/>
        </w:rPr>
        <w:t xml:space="preserve">ԿԱՏԱՐԵԼՈՒ</w:t>
      </w:r>
      <w:r>
        <w:rPr>
          <w:rFonts w:ascii="'GHEA Grapalat'" w:hAnsi="'GHEA Grapalat'" w:eastAsia="'GHEA Grapalat'" w:cs="'GHEA Grapalat'"/>
          <w:lang w:val="ru-RU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ru-RU"/>
          <w:sz w:val="24"/>
          <w:szCs w:val="24"/>
          <w:b w:val="1"/>
          <w:bCs w:val="1"/>
        </w:rPr>
        <w:t xml:space="preserve">ՄԱՍԻՆ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color w:val="red"/>
          <w:sz w:val="24"/>
          <w:szCs w:val="24"/>
          <w:b w:val="1"/>
          <w:bCs w:val="1"/>
        </w:rPr>
        <w:t xml:space="preserve"> 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ru-RU"/>
          <w:sz w:val="24"/>
          <w:szCs w:val="24"/>
          <w:b w:val="1"/>
          <w:bCs w:val="1"/>
        </w:rPr>
        <w:t xml:space="preserve">Հոդված</w:t>
      </w: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 1. 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2020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թվականի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հուլիսի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16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-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ի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Տեսալսողական մեդիայի մասին օրենքի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(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այսուհետ՝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Օրենք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)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-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հոդվածի առաջին մասը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լրացնել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հետևյալ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բովանդակությամբ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31-րդ կետով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.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31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)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Սինթետիկ բովանդակություն`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ցանկացած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տեսակի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տեսալսողական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, 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ձայնային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, 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կամ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այլ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տեղեկատվական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նյութ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, 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որն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ամբողջությամբ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կամ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մասնակիորեն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ստեղծվել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, 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գեներացվել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,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ձևափոխվել կամ վերարտադրվել 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է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արհեստական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բանականության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համակարգերի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, 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ալգորիթմային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գեներատիվ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տեխնոլոգիաների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կամ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ավտոմատացված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ծրագրային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միջոցների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կիրառմամբ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, 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ինչպես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նաև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այն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նյութը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, 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որը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թվային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մշակումների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արդյունքում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ձևափոխվել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է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այնպես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, 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որ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կարող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է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անձի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մոտ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ստեղծել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իրականության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հետ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անհամապատասխան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ընկալում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դրա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ծագման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, 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իսկության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կամ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ներկայացված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անձի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խոսքի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, 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պատկերի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կամ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գործողությունների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վերաբերյալ։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 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ru-RU"/>
          <w:sz w:val="24"/>
          <w:szCs w:val="24"/>
          <w:b w:val="1"/>
          <w:bCs w:val="1"/>
        </w:rPr>
        <w:t xml:space="preserve">Հոդված</w:t>
      </w: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 2.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Օրենքը լրացնել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հետևյալ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բովանդակությամբ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9․1 հոդվածով</w:t>
      </w:r>
      <w:r>
        <w:rPr>
          <w:rFonts w:ascii="'Cambria Math'" w:hAnsi="'Cambria Math'" w:eastAsia="'Cambria Math'" w:cs="'Cambria Math'"/>
          <w:lang w:val="hy-HY"/>
          <w:sz w:val="24"/>
          <w:szCs w:val="24"/>
        </w:rPr>
        <w:t xml:space="preserve">․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Հոդված 9․1 Սինթետիկ բովանդակության պարտադիր մակնշումը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1․ Տեսալսողական մեդիածառայություն մատուցողները պարտավոր են ապահովել, որ սինթետիկ բովանդակությունն ունենա հստակ, լսելի կամ տեսանելի և ընթեռնելի մակնշում, որը պարունակում է «Գեներացված է ԱԲ-ի կողմից» կամ «Ստեղծված է ԱԲ-ի կողմից» նշումը։</w:t>
      </w:r>
    </w:p>
    <w:p>
      <w:pPr>
        <w:ind w:left="0" w:right="0" w:firstLine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2․</w:t>
      </w: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Մակնշումը պետք է իրականացվի հետևյալ եղանակներով՝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Տեսալսողական հաղորդման դեպքում՝ ցուցադրվի տեսանյութի ամբողջ ընթացքում, ինչպես նաև արտացոլվի նկարագրության դաշտում,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Լսողական հաղորդման, ինչպես նաև ձայնային բովանդակությամբ այլ նյութերի դեպքում՝ ներառվի երկու անգամ՝ լսողական հաղորդման սկզբում և վերջում, ինչպես նաև նկարագրության դաշտում,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պատկերների դեպքում՝ արտացոլվի պատկերի վրա, ինչպես նաև, ներառվի պատկերի նկարագրության դաշտում։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3․ Այն դեպքում, երբ հաղորդումն ամբողջությամբ սինթետիկ բովանդակություն չի հանդիսանում, մակնշումը կատարվում է միայն հաղորդման այն հատվածում, որը պարունակում է սինթետիկ բովանդակություն։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4․ Մակնշման պարտականությունը չի տարածվում այն դեպքերի վրա, երբ բովանդակությունը ֆանտաստիկ, գեղարվեստական, հումորային կամ մշակութային բնույթ ունի, բացառությամբ այն դեպքերի, երբ այն կարող է օգտագործվել ապատեղեկատվության նպատակով։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Հոդված 3.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Օրենքի 57-րդ հոդվածը լրացնել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հետևյալ բովանդակությամբ 30․1 հոդվածով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՝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30․1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Սույն օրենքի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Cambria Math'" w:hAnsi="'Cambria Math'" w:eastAsia="'Cambria Math'" w:cs="'Cambria Math'"/>
          <w:lang w:val="hy-HY"/>
          <w:sz w:val="24"/>
          <w:szCs w:val="24"/>
        </w:rPr>
        <w:t xml:space="preserve">9․1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հոդվածի պահանջները խախտելը` առաջացնում է տուգանքի նշանակում`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Հասույթի 0.04 տոկոսի, բայց ոչ պակաս, քան սահմանված նվազագույն աշխատավարձի երեքհարյուրապատիկի չափով: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Հոդված 2.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2026-03-31T10:18:27+04:00</dcterms:created>
  <dcterms:modified xsi:type="dcterms:W3CDTF">2026-03-31T10:18:27+04:00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