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ԲԱՐՁՐ ՏԵԽՆՈԼՈԳԻԱԿԱՆ ԱՐԴՅՈՒՆԱԲԵՐՈՒԹՅԱՆ ՆԱԽԱՐԱՐՈՒԹՅԱՆ ԿՈՂՄԻՑ ՓՈՍՏԱՅԻՆ ԿԱՊԻ ԲՆԱԳԱՎԱՌՈՒՄ ԻՐԱԿԱՆԱՑՎՈՂ ՓՈՍՏԱՅԻՆ ԿԱՊԻ ԳՈՐԾՈՒՆԵՈՒԹՅԱՆ ՍՏՈՒԳՈՒՄՆԵՐԻ ՍՏՈՒԳԱԹԵՐԹԸ ՀԱՍՏԱՏԵԼՈՒ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 ______ի 2025 թվականի N______-Ն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ԲԱՐՁՐ ՏԵԽՆՈԼՈԳԻԱԿԱՆ ԱՐԴՅՈՒՆԱԲԵՐՈՒԹՅԱՆ ՆԱԽԱՐԱՐՈՒԹՅԱՆ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ԿՈՂՄԻՑ ՓՈՍՏԱՅԻՆ ԿԱՊԻ ԲՆԱԳԱՎԱՌՈՒՄ </w:t>
      </w:r>
      <w:r>
        <w:rPr>
          <w:b w:val="1"/>
          <w:bCs w:val="1"/>
        </w:rPr>
        <w:t xml:space="preserve">ԻՐԱԿԱՆԱՑՎՈՂ </w:t>
      </w:r>
      <w:r>
        <w:rPr>
          <w:b w:val="1"/>
          <w:bCs w:val="1"/>
        </w:rPr>
        <w:t xml:space="preserve">ՓՈՍՏԱՅԻՆ ԿԱՊԻ ԳՈՐԾՈՒՆԵՈՒԹՅԱՆ ՍՏՈՒԳՈՒՄՆԵՐԻ ՍՏՈՒԳԱԹԵՐԹԸ ՀԱՍՏԱՏԵԼՈՒ ՄԱՍԻՆ   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Հիմք ընդունելով «Հայաստանի Հանրապետությունում ստուգումների կազմակերպման և անցկացման մասին» օրենքի 3-րդ հոդվածի 1.1-ին մասը`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Հաստատել`</w:t>
      </w:r>
    </w:p>
    <w:p>
      <w:pPr/>
      <w:r>
        <w:rPr/>
        <w:t xml:space="preserve">1) Հայաստանի Հանրապետության բարձր տեխնոլոգիական արդյունաբերության նախարարության կողմից փոստային կապի բնագավառում իրականացվող փոստային կապի գործունեության ստուգումների ստուգաթերթը՝ համաձայն հավելվածի: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</w:t>
      </w:r>
    </w:p>
    <w:p>
      <w:pPr/>
      <w:r>
        <w:rPr>
          <w:b w:val="1"/>
          <w:bCs w:val="1"/>
        </w:rPr>
        <w:t xml:space="preserve">ՎԱՐՉԱՊԵՏ                                                                   Ն. ՓԱՇԻՆՅԱՆ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5000" w:type="dxa"/>
        <w:gridCol w:w="45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Հավելված</w:t>
            </w:r>
          </w:p>
          <w:p>
            <w:pPr/>
            <w:r>
              <w:rPr>
                <w:b w:val="1"/>
                <w:bCs w:val="1"/>
              </w:rPr>
              <w:t xml:space="preserve">ՀՀ կառավարության 2025 թվականի</w:t>
            </w:r>
          </w:p>
          <w:p>
            <w:pPr/>
            <w:r>
              <w:rPr>
                <w:b w:val="1"/>
                <w:bCs w:val="1"/>
              </w:rPr>
              <w:t xml:space="preserve">_______ի __-ի N ____-Ն որոշման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Ս Տ ՈՒ Գ Ա Թ Ե Ր Թ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N__________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ՓՈՍՏԱՅԻՆ ԿԱՊԻ ԲՆԱԳԱՎԱՌՈՒՄ ՓՈՍՏԱՅԻՆ ԿԱՊԻ ԳՈՐԾՈՒՆԵՈՒԹՅԱՆ ՍՏՈՒԳՈՒՄՆԵՐԻ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>
                <w:b w:val="1"/>
                <w:bCs w:val="1"/>
              </w:rPr>
              <w:t xml:space="preserve">Ստուգման սկիզբը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20    թ. ____________ _____</w:t>
            </w:r>
          </w:p>
          <w:p>
            <w:pPr/>
            <w:r>
              <w:rPr/>
              <w:t xml:space="preserve">(տարեթիվը, ամիսը, ամսաթիվը)</w:t>
            </w:r>
          </w:p>
        </w:tc>
        <w:tc>
          <w:tcPr>
            <w:tcW w:w="9750" w:type="dxa"/>
            <w:noWrap/>
          </w:tcPr>
          <w:p>
            <w:pPr/>
            <w:r>
              <w:rPr>
                <w:b w:val="1"/>
                <w:bCs w:val="1"/>
              </w:rPr>
              <w:t xml:space="preserve">Ստուգման ավարտը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20    թ. ____________ _____</w:t>
            </w:r>
          </w:p>
          <w:p>
            <w:pPr/>
            <w:r>
              <w:rPr/>
              <w:t xml:space="preserve">(տարեթիվը, ամիսը, ամսաթիվը)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Ստուգման հիմքը</w:t>
      </w:r>
      <w:r>
        <w:rPr/>
        <w:t xml:space="preserve"> ____________________________________________________________</w:t>
      </w:r>
    </w:p>
    <w:p>
      <w:pPr/>
      <w:r>
        <w:rPr>
          <w:b w:val="1"/>
          <w:bCs w:val="1"/>
        </w:rPr>
        <w:t xml:space="preserve">Ստուգման ենթակա հարցերի շրջանակը՝</w:t>
      </w:r>
      <w:r>
        <w:rPr/>
        <w:t xml:space="preserve"> համաձայն ձևի հարցաշարի</w:t>
      </w:r>
    </w:p>
    <w:p>
      <w:pPr/>
      <w:r>
        <w:rPr/>
        <w:t xml:space="preserve">Տնտեսական գործունեության տեսակի դասակարգչի ծածկագիրը ____________________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Տնտեսավարող սուբյեկտի՝</w:t>
      </w:r>
    </w:p>
    <w:p>
      <w:pPr/>
      <w:r>
        <w:rPr/>
        <w:t xml:space="preserve">անվանումը __________________________________________________________________</w:t>
      </w:r>
    </w:p>
    <w:p>
      <w:pPr/>
      <w:r>
        <w:rPr/>
        <w:t xml:space="preserve">գտնվելու վայրը ______________________________________________________________</w:t>
      </w:r>
    </w:p>
    <w:p>
      <w:pPr/>
      <w:r>
        <w:rPr/>
        <w:t xml:space="preserve">լիցենզիան տալու ամսաթիվը «      » ___________ 20     թ.</w:t>
      </w:r>
    </w:p>
    <w:p>
      <w:pPr/>
      <w:r>
        <w:rPr/>
        <w:t xml:space="preserve">լիցենզիայի համարը N ________________</w:t>
      </w:r>
    </w:p>
    <w:p>
      <w:pPr/>
      <w:r>
        <w:rPr/>
        <w:t xml:space="preserve">այլ կոնտակտային տվյալներ __________________________________________________</w:t>
      </w:r>
    </w:p>
    <w:p>
      <w:pPr/>
      <w:r>
        <w:rPr/>
        <w:t xml:space="preserve">ՀՎՀՀ-ի ծածկագիրը՝ _________________________________________________________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Ստուգումն իրականացնող պաշտոնատար անձինք`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_________________________________________________________________________</w:t>
      </w:r>
    </w:p>
    <w:tbl>
      <w:tblGrid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(պաշտոնը)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(ծառայողական վկայականի համարը)</w:t>
            </w:r>
          </w:p>
        </w:tc>
      </w:tr>
    </w:tbl>
    <w:p>
      <w:pPr/>
      <w:r>
        <w:rPr/>
        <w:t xml:space="preserve"> </w:t>
      </w:r>
    </w:p>
    <w:tbl>
      <w:tblGrid>
        <w:gridCol w:w="8250" w:type="dxa"/>
        <w:gridCol w:w="8250" w:type="dxa"/>
      </w:tblGrid>
      <w:tblPr>
        <w:tblW w:w="8250" w:type="dxa"/>
        <w:tblLayout w:type="autofit"/>
      </w:tblPr>
      <w:tr>
        <w:trPr/>
        <w:tc>
          <w:tcPr>
            <w:tcW w:w="8250" w:type="dxa"/>
            <w:noWrap/>
          </w:tcPr>
          <w:p>
            <w:pPr/>
            <w:r>
              <w:rPr/>
              <w:t xml:space="preserve">________________________________________________________________</w:t>
            </w:r>
          </w:p>
          <w:p>
            <w:pPr/>
            <w:r>
              <w:rPr/>
              <w:t xml:space="preserve">(ազգանունը, անունը, հայրանունը)</w:t>
            </w:r>
          </w:p>
        </w:tc>
        <w:tc>
          <w:tcPr>
            <w:tcW w:w="8250" w:type="dxa"/>
            <w:noWrap/>
          </w:tcPr>
          <w:p>
            <w:pPr/>
            <w:r>
              <w:rPr/>
              <w:t xml:space="preserve">______________________________________</w:t>
            </w:r>
          </w:p>
          <w:p>
            <w:pPr/>
            <w:r>
              <w:rPr/>
              <w:t xml:space="preserve">(ստորագրությունը)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_________________________________________________________________________</w:t>
      </w:r>
    </w:p>
    <w:tbl>
      <w:tblGrid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(պաշտոնը)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(ծառայողական վկայականի համարը)</w:t>
            </w:r>
          </w:p>
        </w:tc>
      </w:tr>
    </w:tbl>
    <w:p>
      <w:pPr/>
      <w:r>
        <w:rPr/>
        <w:t xml:space="preserve"> </w:t>
      </w:r>
    </w:p>
    <w:tbl>
      <w:tblGrid>
        <w:gridCol w:w="8250" w:type="dxa"/>
        <w:gridCol w:w="8250" w:type="dxa"/>
      </w:tblGrid>
      <w:tblPr>
        <w:tblW w:w="8250" w:type="dxa"/>
        <w:tblLayout w:type="autofit"/>
      </w:tblPr>
      <w:tr>
        <w:trPr/>
        <w:tc>
          <w:tcPr>
            <w:tcW w:w="8250" w:type="dxa"/>
            <w:noWrap/>
          </w:tcPr>
          <w:p>
            <w:pPr/>
            <w:r>
              <w:rPr/>
              <w:t xml:space="preserve">________________________________________________________________</w:t>
            </w:r>
          </w:p>
          <w:p>
            <w:pPr/>
            <w:r>
              <w:rPr/>
              <w:t xml:space="preserve">(ազգանունը, անունը, հայրանունը)</w:t>
            </w:r>
          </w:p>
        </w:tc>
        <w:tc>
          <w:tcPr>
            <w:tcW w:w="8250" w:type="dxa"/>
            <w:noWrap/>
          </w:tcPr>
          <w:p>
            <w:pPr/>
            <w:r>
              <w:rPr/>
              <w:t xml:space="preserve">______________________________________</w:t>
            </w:r>
          </w:p>
          <w:p>
            <w:pPr/>
            <w:r>
              <w:rPr/>
              <w:t xml:space="preserve">(ստորագրությունը)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_________________________________________________________________________</w:t>
      </w:r>
    </w:p>
    <w:tbl>
      <w:tblGrid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(պաշտոնը)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(ծառայողական վկայականի համարը)</w:t>
            </w:r>
          </w:p>
        </w:tc>
      </w:tr>
    </w:tbl>
    <w:p>
      <w:pPr/>
      <w:r>
        <w:rPr/>
        <w:t xml:space="preserve"> </w:t>
      </w:r>
    </w:p>
    <w:tbl>
      <w:tblGrid>
        <w:gridCol w:w="8250" w:type="dxa"/>
        <w:gridCol w:w="8250" w:type="dxa"/>
      </w:tblGrid>
      <w:tblPr>
        <w:tblW w:w="8250" w:type="dxa"/>
        <w:tblLayout w:type="autofit"/>
      </w:tblPr>
      <w:tr>
        <w:trPr/>
        <w:tc>
          <w:tcPr>
            <w:tcW w:w="8250" w:type="dxa"/>
            <w:noWrap/>
          </w:tcPr>
          <w:p>
            <w:pPr/>
            <w:r>
              <w:rPr/>
              <w:t xml:space="preserve">________________________________________________________________</w:t>
            </w:r>
          </w:p>
          <w:p>
            <w:pPr/>
            <w:r>
              <w:rPr/>
              <w:t xml:space="preserve">(ազգանունը, անունը, հայրանունը)</w:t>
            </w:r>
          </w:p>
        </w:tc>
        <w:tc>
          <w:tcPr>
            <w:tcW w:w="8250" w:type="dxa"/>
            <w:noWrap/>
          </w:tcPr>
          <w:p>
            <w:pPr/>
            <w:r>
              <w:rPr/>
              <w:t xml:space="preserve">______________________________________</w:t>
            </w:r>
          </w:p>
          <w:p>
            <w:pPr/>
            <w:r>
              <w:rPr/>
              <w:t xml:space="preserve">(ստորագրությունը)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Տնտեսավարող սուբյեկտի ղեկավար՝</w:t>
      </w:r>
    </w:p>
    <w:p>
      <w:pPr/>
      <w:r>
        <w:rPr/>
        <w:t xml:space="preserve"> </w:t>
      </w:r>
    </w:p>
    <w:tbl>
      <w:tblGrid>
        <w:gridCol w:w="8250" w:type="dxa"/>
        <w:gridCol w:w="8250" w:type="dxa"/>
      </w:tblGrid>
      <w:tblPr>
        <w:tblW w:w="8250" w:type="dxa"/>
        <w:tblLayout w:type="autofit"/>
      </w:tblPr>
      <w:tr>
        <w:trPr/>
        <w:tc>
          <w:tcPr>
            <w:tcW w:w="8250" w:type="dxa"/>
            <w:noWrap/>
          </w:tcPr>
          <w:p>
            <w:pPr/>
            <w:r>
              <w:rPr/>
              <w:t xml:space="preserve">________________________________________________________________</w:t>
            </w:r>
          </w:p>
          <w:p>
            <w:pPr/>
            <w:r>
              <w:rPr/>
              <w:t xml:space="preserve">(ազգանունը, անունը, հայրանունը)</w:t>
            </w:r>
          </w:p>
        </w:tc>
        <w:tc>
          <w:tcPr>
            <w:tcW w:w="8250" w:type="dxa"/>
            <w:noWrap/>
          </w:tcPr>
          <w:p>
            <w:pPr/>
            <w:r>
              <w:rPr/>
              <w:t xml:space="preserve">______________________________________</w:t>
            </w:r>
          </w:p>
          <w:p>
            <w:pPr/>
            <w:r>
              <w:rPr/>
              <w:t xml:space="preserve">(ստորագրությունը)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 Ա Ր Ց Ա Շ Ա Ր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ՓՈՍՏԱՅԻՆ ԿԱՊԻ ԲՆԱԳԱՎԱՌՈՒՄ ՓՈՍՏԱՅԻՆ ԿԱՊԻ ԳՈՐԾՈՒՆԵՈՒԹՅԱՆ ՍՏՈՒԳՄԱՆ</w:t>
      </w:r>
    </w:p>
    <w:p>
      <w:pPr/>
      <w:r>
        <w:rPr/>
        <w:t xml:space="preserve"> </w:t>
      </w:r>
    </w:p>
    <w:tbl>
      <w:tblGrid>
        <w:gridCol w:w="720" w:type="dxa"/>
        <w:gridCol w:w="4110" w:type="dxa"/>
        <w:gridCol w:w="570" w:type="dxa"/>
        <w:gridCol w:w="510" w:type="dxa"/>
        <w:gridCol w:w="10290" w:type="dxa"/>
        <w:gridCol w:w="10290" w:type="dxa"/>
      </w:tblGrid>
      <w:tblPr>
        <w:tblW w:w="10290" w:type="dxa"/>
        <w:tblLayout w:type="autofit"/>
      </w:tblPr>
      <w:tr>
        <w:trPr/>
        <w:tc>
          <w:tcPr>
            <w:tcW w:w="720" w:type="dxa"/>
            <w:noWrap/>
          </w:tcPr>
          <w:p>
            <w:pPr/>
            <w:r>
              <w:rPr>
                <w:b w:val="1"/>
                <w:bCs w:val="1"/>
              </w:rPr>
              <w:t xml:space="preserve">NN</w:t>
            </w:r>
          </w:p>
          <w:p>
            <w:pPr/>
            <w:r>
              <w:rPr>
                <w:b w:val="1"/>
                <w:bCs w:val="1"/>
              </w:rPr>
              <w:t xml:space="preserve">ը/կ</w:t>
            </w:r>
          </w:p>
        </w:tc>
        <w:tc>
          <w:tcPr>
            <w:tcW w:w="4110" w:type="dxa"/>
            <w:noWrap/>
          </w:tcPr>
          <w:p>
            <w:pPr/>
            <w:r>
              <w:rPr>
                <w:b w:val="1"/>
                <w:bCs w:val="1"/>
              </w:rPr>
              <w:t xml:space="preserve">Հարցը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Այո</w:t>
            </w:r>
          </w:p>
        </w:tc>
        <w:tc>
          <w:tcPr>
            <w:tcW w:w="510" w:type="dxa"/>
            <w:noWrap/>
          </w:tcPr>
          <w:p>
            <w:pPr/>
            <w:r>
              <w:rPr>
                <w:b w:val="1"/>
                <w:bCs w:val="1"/>
              </w:rPr>
              <w:t xml:space="preserve">Ոչ</w:t>
            </w:r>
          </w:p>
        </w:tc>
        <w:tc>
          <w:tcPr>
            <w:tcW w:w="10290" w:type="dxa"/>
            <w:noWrap/>
          </w:tcPr>
          <w:p>
            <w:pPr/>
            <w:r>
              <w:rPr>
                <w:b w:val="1"/>
                <w:bCs w:val="1"/>
              </w:rPr>
              <w:t xml:space="preserve">Մեկնա- բանու- թյուններ</w:t>
            </w:r>
          </w:p>
        </w:tc>
        <w:tc>
          <w:tcPr>
            <w:tcW w:w="10290" w:type="dxa"/>
            <w:noWrap/>
          </w:tcPr>
          <w:p>
            <w:pPr/>
            <w:r>
              <w:rPr>
                <w:b w:val="1"/>
                <w:bCs w:val="1"/>
              </w:rPr>
              <w:t xml:space="preserve">Հարցի համար հիմք հանդիսացող իրավական նորմը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>
                <w:b w:val="1"/>
                <w:bCs w:val="1"/>
              </w:rPr>
              <w:t xml:space="preserve">1.</w:t>
            </w:r>
          </w:p>
        </w:tc>
        <w:tc>
          <w:tcPr>
            <w:tcW w:w="4110" w:type="dxa"/>
            <w:noWrap/>
          </w:tcPr>
          <w:p>
            <w:pPr/>
            <w:r>
              <w:rPr/>
              <w:t xml:space="preserve">Արդյո՞ք լիցենզավորված անձն իր գործունեությունն իրականացնում է միայն այն վայրում (հասցեում), որը նշված է լիցենզիայում: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1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029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«Լիցենզավորման մասին» ՀՀ օրենքի 17-րդ հոդվածի  1-ին մասի 6-րդ կետ: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>
                <w:b w:val="1"/>
                <w:bCs w:val="1"/>
              </w:rPr>
              <w:t xml:space="preserve">2.</w:t>
            </w:r>
          </w:p>
        </w:tc>
        <w:tc>
          <w:tcPr>
            <w:tcW w:w="4110" w:type="dxa"/>
            <w:noWrap/>
          </w:tcPr>
          <w:p>
            <w:pPr/>
            <w:r>
              <w:rPr/>
              <w:t xml:space="preserve">Արդյո՞ք փոստային կամ սուրհանդակային կապի ծառայություն մատուցող անձն ունի սպասարկման գրասենյակ(ներ)՝ փոստային կամ սուրհանդակային կապի ծառայություններից օգտվողներին սպասարկելու նպատակով՝ սեփականության, վարձակալության կամ անհատույց օգտագործման իրավունքի հիման վրա: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ՀՀ կառավարության 2005 թվականի հուլիսի  21-ի՝ Փոստային կապի գործունեության լիցենզավորման կարգը և լիցենզիայի ձևը հաստատելու մասին թիվ 1113-Ն որոշման  1-ին կետի 1-ին ենթակետով հաստատված՝ փոստային կապի բնագավառում փոստային կապի գործունեության լիցենզավորման կարգի (հավելվածի N 1) 8-րդ կետի 1-ին ենթակետ: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>
                <w:b w:val="1"/>
                <w:bCs w:val="1"/>
              </w:rPr>
              <w:t xml:space="preserve">3.</w:t>
            </w:r>
          </w:p>
        </w:tc>
        <w:tc>
          <w:tcPr>
            <w:tcW w:w="4110" w:type="dxa"/>
            <w:noWrap/>
          </w:tcPr>
          <w:p>
            <w:pPr/>
            <w:r>
              <w:rPr/>
              <w:t xml:space="preserve">Արդյո՞ք փոստային կամ սուրհանդակային կապի ծառայությունների մատուցումն ապահովելու նպատակով փոստային կամ սուրհանդակային կապի ծառայություն մատուցող անձն ունի անհրաժեշտ տեխնոլոգիական սարքավորումներ, մեքենայացման, ավտոմատացման և տեղեկատվայնացման, ինչպես նաև հատուկ տարբերանշանով տրանսպորտային միջոցներ: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ՀՀ կառավարության 2005 թվականի հուլիսի  21-ի՝ Փոստային կապի գործունեության լիցենզավորման կարգը և լիցենզիայի ձևը հաստատելու մասին թիվ 1113-Ն որոշման  1-ին կետի 1-ին ենթակետով հաստատված՝ փոստային կապի բնագավառում փոստային կապի գործունեության լիցենզավորման կարգի (հավելվածի N 1) 8-րդ կետի 2-րդ ենթակետ: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>
                <w:b w:val="1"/>
                <w:bCs w:val="1"/>
              </w:rPr>
              <w:t xml:space="preserve">4.</w:t>
            </w:r>
          </w:p>
        </w:tc>
        <w:tc>
          <w:tcPr>
            <w:tcW w:w="4110" w:type="dxa"/>
            <w:noWrap/>
          </w:tcPr>
          <w:p>
            <w:pPr/>
            <w:r>
              <w:rPr/>
              <w:t xml:space="preserve">Արդյո՞ք փոստային կամ սուրհանդակային կապի ծառայություն մատուցող անձի կողմից ապահովված է փոստային կապի օբյեկտ մուտքի մատչելիություն՝ հաշմանդամություն ունեցող անձանց մատչելի սպասարկման նպատակով։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ՀՀ կառավարության 2005 թվականի հուլիսի  21-ի՝ Փոստային կապի գործունեության լիցենզավորման կարգը և լիցենզիայի ձևը հաստատելու մասին թիվ 1113-Ն որոշման  1-ին կետի 1-ին ենթակետով հաստատված՝ փոստային կապի բնագավառում փոստային կապի գործունեության լիցենզավորման կարգի (հավելվածի N 1) 8-րդ կետի 3-րդ ենթակետ: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>
                <w:b w:val="1"/>
                <w:bCs w:val="1"/>
              </w:rPr>
              <w:t xml:space="preserve">5.</w:t>
            </w:r>
          </w:p>
        </w:tc>
        <w:tc>
          <w:tcPr>
            <w:tcW w:w="4110" w:type="dxa"/>
            <w:noWrap/>
          </w:tcPr>
          <w:p>
            <w:pPr/>
            <w:r>
              <w:rPr/>
              <w:t xml:space="preserve">Արդյո՞ք փոստային կամ սուրհանդակային կապի ծառայություն մատուցող անձանց սպասարկման գրասենյակները հագեցված են շուրջօրյա պահպանիչ- հակահրդեհային ազդարարման և անվտանգության ահազանգման համակարգերով: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Փոստային կապի գործունեության լիցենզավորման կարգը և լիցենզիայի ձևը հաստատելու մասին թիվ 1113-Ն որոշման  1-ին կետի 1-ին ենթակետով հաստատված՝ փոստային կապի բնագավառում փոստային կապի գործունեության լիցենզավորման կարգի (հավելվածի N 1) 8-րդ կետի 4-րդ ենթակետ: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>
                <w:b w:val="1"/>
                <w:bCs w:val="1"/>
              </w:rPr>
              <w:t xml:space="preserve">6</w:t>
            </w:r>
            <w:r>
              <w:rPr>
                <w:b w:val="1"/>
                <w:bCs w:val="1"/>
              </w:rPr>
              <w:t xml:space="preserve">.</w:t>
            </w:r>
          </w:p>
        </w:tc>
        <w:tc>
          <w:tcPr>
            <w:tcW w:w="4110" w:type="dxa"/>
            <w:noWrap/>
          </w:tcPr>
          <w:p>
            <w:pPr/>
            <w:r>
              <w:rPr/>
              <w:t xml:space="preserve">Արդյո՞ք փոստային կապի օբյեկտի մուտքի մոտ տեղադրված է ցուցանակ, որտեղ նշված են փոստային կապի օպերատորի անվանումը, օբյեկտի անվանումը, աշխատանքի ռեժիմը և փոստային դասիչը։ Ցուցանակը գրվա՞ծ է հայերենով։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ՀՀ կառավարության 2012 թվականի փետրվարի 16-ի թիվ 211-Ն որոշմամբ հաստատված՝ Փոստային կապի օպերատորի գործունեության կանոնակարգը և տեխնոլոգիական սարքավորումներին և մեքենայացման, ավտոմատացման և տեղեկատվայնացման միջոցներին ներկայացվող նվազագույն պահանջները և դրանց միջոցով փոստային կապի օպերատորից, ինչպես նաև փոստային կապի ծառայություններից օգտվողներից հավաքագրվող փաստաթղթերի և տեղեկությունների ցանկի  14-րդ կետ: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>
                <w:b w:val="1"/>
                <w:bCs w:val="1"/>
              </w:rPr>
              <w:t xml:space="preserve">7</w:t>
            </w:r>
            <w:r>
              <w:rPr>
                <w:b w:val="1"/>
                <w:bCs w:val="1"/>
              </w:rPr>
              <w:t xml:space="preserve">.</w:t>
            </w:r>
          </w:p>
        </w:tc>
        <w:tc>
          <w:tcPr>
            <w:tcW w:w="4110" w:type="dxa"/>
            <w:noWrap/>
          </w:tcPr>
          <w:p>
            <w:pPr/>
            <w:r>
              <w:rPr/>
              <w:t xml:space="preserve">Արդյո՞ք փոստային կապի օբյեկտների ներսում՝ օգտվողների համար մատչելի և տեսանելի վայրում առկա է առաջարկությունների գիրք, որը հաստատված է փոստային կապի օպերատորի կողմից, ինչպես նաև անհրաժեշտ հետևյալ տեղեկատվական նյութը`</w:t>
            </w:r>
          </w:p>
          <w:p>
            <w:pPr/>
            <w:r>
              <w:rPr/>
              <w:t xml:space="preserve">1) փոստային կապի օպերատորի անվանումը և գտնվելու վայրը.</w:t>
            </w:r>
          </w:p>
          <w:p>
            <w:pPr/>
            <w:r>
              <w:rPr/>
              <w:t xml:space="preserve">2) փոստային կապի օբյեկտի փոստային դասիչը և հասցեն.</w:t>
            </w:r>
          </w:p>
          <w:p>
            <w:pPr/>
            <w:r>
              <w:rPr/>
              <w:t xml:space="preserve">3) մատուցվող ծառայությունների ցանկը, դրանց հսկիչ ժամկետները և սակագները.</w:t>
            </w:r>
          </w:p>
          <w:p>
            <w:pPr/>
            <w:r>
              <w:rPr/>
              <w:t xml:space="preserve">4) դրամական միջոցների փոստային փոխադրությունների հասցեագրման և վճարման կարգը.</w:t>
            </w:r>
          </w:p>
          <w:p>
            <w:pPr/>
            <w:r>
              <w:rPr/>
              <w:t xml:space="preserve">5) փոստային առաքանիների հասցեագրման, փաթեթավորման և առաքման վճարման կարգը, դրանց համար սահմանված չափերը և առավելագույն քաշը.</w:t>
            </w:r>
          </w:p>
          <w:p>
            <w:pPr/>
            <w:r>
              <w:rPr/>
              <w:t xml:space="preserve">6) փոստային կապի օբյեկտում չհանձնված փոստային առաքանու և չվճարված դրամական միջոցների փոստային փոխադրությունների պահպանման ժամկետը.</w:t>
            </w:r>
          </w:p>
          <w:p>
            <w:pPr/>
            <w:r>
              <w:rPr/>
              <w:t xml:space="preserve">7) առաքման համար արգելված առարկաների և նյութերի ցանկը.</w:t>
            </w:r>
          </w:p>
          <w:p>
            <w:pPr/>
            <w:r>
              <w:rPr/>
              <w:t xml:space="preserve">8) փոստային կապի օպերատորների և փոստային կապի ծառայություններից օգտվողների պատասխանատվության մասին.</w:t>
            </w:r>
          </w:p>
          <w:p>
            <w:pPr/>
            <w:r>
              <w:rPr/>
              <w:t xml:space="preserve">9) փոստային կապի ծառայությունների մատուցման լիցենզիայի պատճենը: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ՀՀ կառավարության 2012 թվականի փետրվարի 16-ի թիվ 211-Ն որոշմամբ հաստատված՝ Փոստային կապի օպերատորի գործունեության կանոնակարգը և տեխնոլոգիական սարքավորումներին և մեքենայացման, ավտոմատացման և տեղեկատվայնացման միջոցներին ներկայացվող նվազագույն պահանջները և դրանց միջոցով փոստային կապի օպերատորից, ինչպես նաև փոստային կապի ծառայություններից օգտվողներից հավաքագրվող փաստաթղթերի և տեղեկությունների ցանկի  15-րդ կետ: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>
                <w:b w:val="1"/>
                <w:bCs w:val="1"/>
              </w:rPr>
              <w:t xml:space="preserve">8.</w:t>
            </w:r>
          </w:p>
        </w:tc>
        <w:tc>
          <w:tcPr>
            <w:tcW w:w="4110" w:type="dxa"/>
            <w:noWrap/>
          </w:tcPr>
          <w:p>
            <w:pPr/>
            <w:r>
              <w:rPr/>
              <w:t xml:space="preserve">Արդյո՞ք սուրհանդակային կապի օպերատորի սպասարկման գրասենյակի մուտքի մոտ տեղադրված է ցուցանակ, որտեղ նշված են սուրհանդակային կապի օպերատորի անվանումը և աշխատանքի ռեժիմը: Ցուցանակը գրվա՞ծ է հայերենով։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ՀՀ կառավարության 2012 թվականի փետրվարի 16-ի թիվ 173-Ն որոշմամբ հաստատված՝  Սուրհանդակային կապի օպերատորի գործունեության կանոնակարգը և տեխնոլոգիական սարքավորումներին և մեքենայացման, ավտոմատացման և տեղեկատվայնացման միջոցներին ներկայացվող նվազագույն պահանջները և դրանց միջոցով սուրհանդակային կապի օպերատորից, ինչպես նաև սուրհանդակային կապի ծառայություններից օգտվողներից հավաքագրվող փաստաթղթերի և տեղեկությունների ցանկի  13-րդ կետ: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>
                <w:b w:val="1"/>
                <w:bCs w:val="1"/>
              </w:rPr>
              <w:t xml:space="preserve">9.</w:t>
            </w:r>
          </w:p>
        </w:tc>
        <w:tc>
          <w:tcPr>
            <w:tcW w:w="4110" w:type="dxa"/>
            <w:noWrap/>
          </w:tcPr>
          <w:p>
            <w:pPr/>
            <w:r>
              <w:rPr/>
              <w:t xml:space="preserve">Արդյո՞ք սուրհանդակային կապի օպերատորի սպասարկման գրասենյակների ներսում՝ օգտվողների համար մատչելի և տեսանելի վայրում առկա է առաջարկությունների գիրք, ինչպես նաև հետևյալ անհրաժեշտ տեղեկատվությունը`</w:t>
            </w:r>
          </w:p>
          <w:p>
            <w:pPr/>
            <w:r>
              <w:rPr/>
              <w:t xml:space="preserve">1) սուրհանդակային կապի օպերատորի անվանումը և գտնվելու վայրը.</w:t>
            </w:r>
          </w:p>
          <w:p>
            <w:pPr/>
            <w:r>
              <w:rPr/>
              <w:t xml:space="preserve">2) մատուցվող ծառայությունների ցանկը, դրանց մատուցման ժամկետները և սակագները.</w:t>
            </w:r>
          </w:p>
          <w:p>
            <w:pPr/>
            <w:r>
              <w:rPr/>
              <w:t xml:space="preserve">3) առաքանիների հասցեագրման, փաթեթավորման և առաքման վճարման կարգը, դրանց համար սահմանված չափերը և առավելագույն քաշը.</w:t>
            </w:r>
          </w:p>
          <w:p>
            <w:pPr/>
            <w:r>
              <w:rPr/>
              <w:t xml:space="preserve">4) առաքման համար արգելված առարկաների և նյութերի ցանկը.</w:t>
            </w:r>
          </w:p>
          <w:p>
            <w:pPr/>
            <w:r>
              <w:rPr/>
              <w:t xml:space="preserve">5) սուրհանդակային կապի օպերատորների և սուրհանդակային կապի ծառայություններից օգտվողների պատասխանատվության մասին.</w:t>
            </w:r>
          </w:p>
          <w:p>
            <w:pPr/>
            <w:r>
              <w:rPr/>
              <w:t xml:space="preserve">6) փոստային կապի գործունեության լիցենզիայի պատճենը: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ՀՀ կառավարության 2012 թվականի փետրվարի 16-ի թիվ 173-Ն որոշմամբ հաստատված՝ Սուրհանդակային կապի օպերատորի գործունեության կանոնակարգը և տեխնոլոգիական սարքավորումներին և մեքենայացման, ավտոմատացման և տեղեկատվայնացման միջոցներին ներկայացվող նվազագույն պահանջները և դրանց միջոցով սուրհանդակային կապի օպերատորից, ինչպես նաև սուրհանդակային կապի ծառայություններից օգտվողներից հավաքագրվող փաստաթղթերի և տեղեկությունների ցանկի   14-րդ կետ:</w:t>
            </w:r>
          </w:p>
        </w:tc>
      </w:tr>
    </w:tbl>
    <w:p>
      <w:pPr/>
      <w:r>
        <w:rPr/>
        <w:t xml:space="preserve"> </w:t>
      </w:r>
    </w:p>
    <w:tbl>
      <w:tblGrid>
        <w:gridCol w:w="330" w:type="dxa"/>
        <w:gridCol w:w="10350" w:type="dxa"/>
        <w:gridCol w:w="465" w:type="dxa"/>
        <w:gridCol w:w="390" w:type="dxa"/>
      </w:tblGrid>
      <w:tblPr>
        <w:tblW w:w="10350" w:type="dxa"/>
        <w:tblLayout w:type="autofit"/>
      </w:tblPr>
      <w:tr>
        <w:trPr/>
        <w:tc>
          <w:tcPr>
            <w:tcW w:w="330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10350" w:type="dxa"/>
            <w:noWrap/>
          </w:tcPr>
          <w:p>
            <w:pPr/>
            <w:r>
              <w:rPr/>
              <w:t xml:space="preserve">«Այո» - այո, առկա է, համապատասխանում է, բավարարում է, կատարվել է, նշվում է հարցում ներառված պահանջների կեսից ավելի դրական պատասխանի դեպքում:</w:t>
            </w:r>
          </w:p>
        </w:tc>
        <w:tc>
          <w:tcPr>
            <w:tcW w:w="465" w:type="dxa"/>
            <w:noWrap/>
          </w:tcPr>
          <w:p>
            <w:pPr/>
            <w:r>
              <w:rPr/>
              <w:t xml:space="preserve">V</w:t>
            </w:r>
          </w:p>
        </w:tc>
        <w:tc>
          <w:tcPr>
            <w:tcW w:w="3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30" w:type="dxa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10350" w:type="dxa"/>
            <w:noWrap/>
          </w:tcPr>
          <w:p>
            <w:pPr/>
            <w:r>
              <w:rPr/>
              <w:t xml:space="preserve">«Ոչ» - ոչ, առկա չէ, չի համապատասխանում, չի բավարարում, չի կատարվել, նշվում է հարցում ներառված պահանջների կեսի և կեսից ավելիի բացասական պատասխանի դեպքում։</w:t>
            </w:r>
          </w:p>
        </w:tc>
        <w:tc>
          <w:tcPr>
            <w:tcW w:w="4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0" w:type="dxa"/>
            <w:noWrap/>
          </w:tcPr>
          <w:p>
            <w:pPr/>
            <w:r>
              <w:rPr/>
              <w:t xml:space="preserve">V</w:t>
            </w:r>
          </w:p>
        </w:tc>
      </w:tr>
    </w:tbl>
    <w:p>
      <w:pPr/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 վարչապետի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աշխատակազմի</w:t>
            </w:r>
            <w:br/>
            <w:r>
              <w:rPr>
                <w:b w:val="1"/>
                <w:bCs w:val="1"/>
              </w:rPr>
              <w:t xml:space="preserve"> ղեկավար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Ա. Հարությունյան</w:t>
            </w:r>
          </w:p>
        </w:tc>
      </w:tr>
    </w:tbl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8398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D89B5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FF6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20E1C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BBA1D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2026-03-30T23:28:25+04:00</dcterms:created>
  <dcterms:modified xsi:type="dcterms:W3CDTF">2026-03-30T23:28:25+04:00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