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«ԱՎՏՈՄՈԲԻԼԱՅԻՆ ՏՐԱՆՍՊՈՐՏՈՎ ՓՈԽԱԴՐՎՈՂ ՎՏԱՆԳԱՎՈՐ ԲԵՌՆԵՐԻ ՑԱՆԿԸ ՍԱՀՄԱՆԵԼՈՒ ՄԱՍԻՆ» ՀՀ ԿԱՌԱՎԱՐՈՒԹՅԱՆ ՈՐՈՇՄԱՆ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«---»------ 2025 թվականի N ----------Ն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ԱՎՏՈՄ</w:t>
      </w:r>
      <w:r>
        <w:rPr>
          <w:b w:val="1"/>
          <w:bCs w:val="1"/>
        </w:rPr>
        <w:t xml:space="preserve">ՈԲԻԼԱՅԻՆ</w:t>
      </w:r>
      <w:r>
        <w:rPr/>
        <w:t xml:space="preserve"> </w:t>
      </w:r>
      <w:r>
        <w:rPr>
          <w:b w:val="1"/>
          <w:bCs w:val="1"/>
        </w:rPr>
        <w:t xml:space="preserve">ՏՐԱՆՍՊՈՐՏՈՎ</w:t>
      </w:r>
      <w:r>
        <w:rPr/>
        <w:t xml:space="preserve"> </w:t>
      </w:r>
      <w:r>
        <w:rPr>
          <w:b w:val="1"/>
          <w:bCs w:val="1"/>
        </w:rPr>
        <w:t xml:space="preserve">ՓՈԽԱԴՐՎՈՂ</w:t>
      </w:r>
      <w:r>
        <w:rPr/>
        <w:t xml:space="preserve"> </w:t>
      </w:r>
      <w:r>
        <w:rPr>
          <w:b w:val="1"/>
          <w:bCs w:val="1"/>
        </w:rPr>
        <w:t xml:space="preserve">ՎՏԱՆԳԱՎՈՐ</w:t>
      </w:r>
      <w:r>
        <w:rPr/>
        <w:t xml:space="preserve"> </w:t>
      </w:r>
      <w:r>
        <w:rPr>
          <w:b w:val="1"/>
          <w:bCs w:val="1"/>
        </w:rPr>
        <w:t xml:space="preserve">ԲԵՌՆԵՐԻ</w:t>
      </w:r>
      <w:r>
        <w:rPr/>
        <w:t xml:space="preserve"> </w:t>
      </w:r>
      <w:r>
        <w:rPr>
          <w:b w:val="1"/>
          <w:bCs w:val="1"/>
        </w:rPr>
        <w:t xml:space="preserve">ՑԱՆԿԸ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«Ավտոմոբիլային տրանսպորտով վտանգավոր բեռներ և չվնասազերծված տարաներ փոխադրելու մասին» Հայաստանի Հանրապետության օրենքի 7-րդ հոդվածի 1-ին մասի 4-րդ կետի պահանջով` Հայաստանի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Սահմանել ավտոմոբիլային տրանս­­պորտով փոխադրվող վտանգավոր բեռների ցանկը՝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</w:t>
      </w:r>
    </w:p>
    <w:p>
      <w:pPr/>
      <w:r>
        <w:rPr/>
        <w:t xml:space="preserve">«——»————2025թ․</w:t>
      </w:r>
      <w:br/>
      <w:r>
        <w:rPr/>
        <w:t xml:space="preserve">N ————-Ն որոշման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ԱՎՏՈՄՈԲԻԼԱՅԻՆ</w:t>
      </w:r>
      <w:r>
        <w:rPr/>
        <w:t xml:space="preserve"> </w:t>
      </w:r>
      <w:r>
        <w:rPr>
          <w:b w:val="1"/>
          <w:bCs w:val="1"/>
        </w:rPr>
        <w:t xml:space="preserve">ՏՐԱՆՍ</w:t>
      </w:r>
      <w:r>
        <w:rPr>
          <w:b w:val="1"/>
          <w:bCs w:val="1"/>
        </w:rPr>
        <w:t xml:space="preserve">­­</w:t>
      </w:r>
      <w:r>
        <w:rPr>
          <w:b w:val="1"/>
          <w:bCs w:val="1"/>
        </w:rPr>
        <w:t xml:space="preserve">ՊՈՐՏՈՎ</w:t>
      </w:r>
      <w:r>
        <w:rPr/>
        <w:t xml:space="preserve"> </w:t>
      </w:r>
      <w:r>
        <w:rPr>
          <w:b w:val="1"/>
          <w:bCs w:val="1"/>
        </w:rPr>
        <w:t xml:space="preserve">ՓՈԽԱԴՐՎՈՂ</w:t>
      </w:r>
      <w:r>
        <w:rPr/>
        <w:t xml:space="preserve"> </w:t>
      </w:r>
      <w:r>
        <w:rPr>
          <w:b w:val="1"/>
          <w:bCs w:val="1"/>
        </w:rPr>
        <w:t xml:space="preserve">ՎՏԱՆԳԱՎՈՐ</w:t>
      </w:r>
      <w:r>
        <w:rPr/>
        <w:t xml:space="preserve"> </w:t>
      </w:r>
      <w:r>
        <w:rPr>
          <w:b w:val="1"/>
          <w:bCs w:val="1"/>
        </w:rPr>
        <w:t xml:space="preserve">ԲԵՌՆԵՐԻ</w:t>
      </w:r>
    </w:p>
    <w:p>
      <w:pPr/>
      <w:r>
        <w:rPr/>
        <w:t xml:space="preserve"> </w:t>
      </w:r>
    </w:p>
    <w:tbl>
      <w:tblGrid>
        <w:gridCol w:w="600" w:type="dxa"/>
        <w:gridCol w:w="2190" w:type="dxa"/>
        <w:gridCol w:w="540" w:type="dxa"/>
        <w:gridCol w:w="720" w:type="dxa"/>
        <w:gridCol w:w="660" w:type="dxa"/>
        <w:gridCol w:w="465" w:type="dxa"/>
        <w:gridCol w:w="705" w:type="dxa"/>
        <w:gridCol w:w="705" w:type="dxa"/>
        <w:gridCol w:w="750" w:type="dxa"/>
        <w:gridCol w:w="735" w:type="dxa"/>
        <w:gridCol w:w="705" w:type="dxa"/>
        <w:gridCol w:w="570" w:type="dxa"/>
        <w:gridCol w:w="630" w:type="dxa"/>
        <w:gridCol w:w="900" w:type="dxa"/>
      </w:tblGrid>
      <w:tblPr>
        <w:tblW w:w="10890" w:type="dxa"/>
        <w:tblLayout w:type="autofit"/>
      </w:tblPr>
      <w:tr>
        <w:trPr/>
        <w:tc>
          <w:tcPr>
            <w:tcW w:w="600" w:type="dxa"/>
            <w:noWrap/>
          </w:tcPr>
          <w:p>
            <w:pPr/>
            <w:r>
              <w:rPr/>
              <w:t xml:space="preserve">ՄԱԿ-ի նշագրման համարը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Անվանումը և նկարագրությունը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Դասը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Դասակարգման կոդը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Փաթեթավորման խումբը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Պիտակները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Հատուկ դրույթներ</w:t>
            </w:r>
          </w:p>
        </w:tc>
        <w:tc>
          <w:tcPr>
            <w:tcW w:w="1455" w:type="dxa"/>
            <w:gridSpan w:val="2"/>
            <w:noWrap/>
          </w:tcPr>
          <w:p>
            <w:pPr/>
            <w:r>
              <w:rPr/>
              <w:t xml:space="preserve">Սահմանափակ և ազատված քանակություններ</w:t>
            </w:r>
          </w:p>
        </w:tc>
        <w:tc>
          <w:tcPr>
            <w:tcW w:w="2010" w:type="dxa"/>
            <w:gridSpan w:val="3"/>
            <w:noWrap/>
          </w:tcPr>
          <w:p>
            <w:pPr/>
            <w:r>
              <w:rPr/>
              <w:t xml:space="preserve">Փաթեթվածք</w:t>
            </w:r>
          </w:p>
        </w:tc>
        <w:tc>
          <w:tcPr>
            <w:tcW w:w="1545" w:type="dxa"/>
            <w:gridSpan w:val="2"/>
            <w:noWrap/>
          </w:tcPr>
          <w:p>
            <w:pPr/>
            <w:r>
              <w:rPr/>
              <w:t xml:space="preserve">Փոխադրվող ցիստեռն և սորուն բեռների համար նախատեսված կոնտեյներ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Փաթեթավորման վերաբերյալ ցուցումներ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Փաթեթավորման վերաբերյալ հատուկ դրույթներ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Խառը փաթեթավորման վերաբերյալ դրույթներ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Ցուցումներ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Հատուկ դրույթներ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0004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ԱՄՈՆԻՈՒՄ ՊԻԿՐԱՏ չոր կամ ջրի 10%-ից ցածր զանգվածային բաժնով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1.1D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P112(a)</w:t>
            </w:r>
          </w:p>
          <w:p>
            <w:pPr/>
            <w:r>
              <w:rPr/>
              <w:t xml:space="preserve">P112(b)</w:t>
            </w:r>
          </w:p>
          <w:p>
            <w:pPr/>
            <w:r>
              <w:rPr/>
              <w:t xml:space="preserve">P112(c)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PP26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MP20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0005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ԶԵՆՔԵՐԻ ՀԱՄԱՐ ՊԱՐԿՈՒՃՆԵՐ պայթուցիկ լիցքով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1.1F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P130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MP23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0006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ԶԵՆՔԵՐԻ ՀԱՄԱՐ ՊԱՐԿՈՒՃՆԵՐ պայթուցիկ լիցքով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1.1E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P130</w:t>
            </w:r>
          </w:p>
          <w:p>
            <w:pPr/>
            <w:r>
              <w:rPr/>
              <w:t xml:space="preserve">LP101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PP67</w:t>
            </w:r>
          </w:p>
          <w:p>
            <w:pPr/>
            <w:r>
              <w:rPr/>
              <w:t xml:space="preserve">L1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MP21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0007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ԶԵՆՔԵՐԻ ՀԱՄԱՐ ՊԱՐԿՈՒՃՆԵՐ պայթուցիկ լիցքով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1.2F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P130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MP23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0009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ԶԻՆԱՄԹԵՐՔ, ՎԱՌՈՂ, լիցքավորված կամ չլիցքավորված պայթուցիկ, մղիչ կամ նետող լիցքով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1.2G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P130</w:t>
            </w:r>
          </w:p>
          <w:p>
            <w:pPr/>
            <w:r>
              <w:rPr/>
              <w:t xml:space="preserve">LP101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PP67</w:t>
            </w:r>
          </w:p>
          <w:p>
            <w:pPr/>
            <w:r>
              <w:rPr/>
              <w:t xml:space="preserve">L1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MP23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0010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ԶԻՆԱՄԹԵՐՔ, ՎԱՌՈՂ, լիցքավորված կամ չլիցքավորված պայթուցիկ, մղիչ կամ նետող լիցքով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1.3G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P130</w:t>
            </w:r>
          </w:p>
          <w:p>
            <w:pPr/>
            <w:r>
              <w:rPr/>
              <w:t xml:space="preserve">LP101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PP67</w:t>
            </w:r>
          </w:p>
          <w:p>
            <w:pPr/>
            <w:r>
              <w:rPr/>
              <w:t xml:space="preserve">L1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MP23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0012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ՊԱՐԿՈՒՃՆԵՐ ՉԵԶՈՔ ԱՐԿՈՎ ԶԵՆՔԵՐԻ ՀԱՄԱՐ կամ ՊԱՐԿՈՒՃՆԵՐ ՀՐԱՁԳԱՅԻՆ ԶԵՆՔԻ ՀԱՄԱՐ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1.4S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5կգ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P130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MP23</w:t>
            </w:r>
          </w:p>
          <w:p>
            <w:pPr/>
            <w:r>
              <w:rPr/>
              <w:t xml:space="preserve">MP24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0014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ԶԵՆՔԵՐԻ ՀԱՄԱՐ ՊԱՐԿՈՒՃՆԵՐ, ԴԱՏԱՐԿ կամ ՊԱՐԿՈՒՃՆԵՐ ՀՐԱՁԳԱՅԻՆ ԶԵՆՔԻ ՀԱՄԱՐ, ԴԱՏԱՐԿ կամ ԳՈՐԾԻՔՆԵՐԻ ՀԱՄԱՐ ՊԱՐԿՈՒՃՆԵՐ, ԴԱՏԱՐԿ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1.4S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5կգ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E0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P130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MP23</w:t>
            </w:r>
          </w:p>
          <w:p>
            <w:pPr/>
            <w:r>
              <w:rPr/>
              <w:t xml:space="preserve">MP24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0C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2026-04-03T15:36:46+04:00</dcterms:created>
  <dcterms:modified xsi:type="dcterms:W3CDTF">2026-04-03T15:36:46+04:00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