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ՓԵՏՐՎԱՐԻ 28-Ի N 201-Լ ՈՐՈՇՄԱՆ ՄԵՋ ԼՐԱՑՈՒՄՆԵՐ ԿԱՏԱՐԵԼՈՒ ՄԱՍԻՆ</w:t>
      </w:r>
      <w:bookmarkEnd w:id="0"/>
    </w:p>
    <w:p>
      <w:pPr>
        <w:jc w:val="center"/>
      </w:pP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ՈՒ</w:t>
      </w:r>
      <w:r>
        <w:rPr>
          <w:b w:val="1"/>
          <w:bCs w:val="1"/>
        </w:rPr>
        <w:t xml:space="preserve"> </w:t>
      </w:r>
      <w:r>
        <w:rPr>
          <w:b w:val="1"/>
          <w:bCs w:val="1"/>
        </w:rPr>
        <w:t xml:space="preserve">Մ</w:t>
      </w:r>
    </w:p>
    <w:p>
      <w:pPr>
        <w:jc w:val="center"/>
      </w:pPr>
      <w:r>
        <w:rPr/>
        <w:t xml:space="preserve"> </w:t>
      </w:r>
    </w:p>
    <w:p>
      <w:pPr>
        <w:jc w:val="center"/>
      </w:pPr>
      <w:r>
        <w:rPr/>
        <w:t xml:space="preserve"> 2025 թվականի              N         -Լ</w:t>
      </w:r>
    </w:p>
    <w:p>
      <w:pPr>
        <w:jc w:val="center"/>
      </w:pPr>
      <w:r>
        <w:rPr/>
        <w:t xml:space="preserve"> </w:t>
      </w:r>
    </w:p>
    <w:p>
      <w:pPr>
        <w:jc w:val="center"/>
      </w:pPr>
      <w:r>
        <w:rPr/>
        <w:t xml:space="preserve"> </w:t>
      </w:r>
    </w:p>
    <w:p>
      <w:pPr>
        <w:jc w:val="center"/>
      </w:pPr>
      <w:r>
        <w:rPr>
          <w:b w:val="1"/>
          <w:bCs w:val="1"/>
        </w:rPr>
        <w:t xml:space="preserve">ՀԱՅԱՍՏԱՆԻ ՀԱՆՐԱՊԵՏՈՒԹՅԱՆ ԿԱՌԱՎԱՐՈՒԹՅԱՆ 2019 ԹՎԱԿԱՆԻ ՓԵՏՐՎԱՐԻ 28-Ի N 201-Լ ՈՐՈՇՄԱՆ ՄԵՋ ԼՐԱՑՈՒՄՆԵՐ ԿԱՏԱՐԵԼՈՒ ՄԱՍԻՆ</w:t>
      </w:r>
    </w:p>
    <w:p>
      <w:pPr/>
      <w:r>
        <w:rPr>
          <w:b w:val="1"/>
          <w:bCs w:val="1"/>
        </w:rPr>
        <w:t xml:space="preserve"> </w:t>
      </w:r>
    </w:p>
    <w:p>
      <w:pPr>
        <w:jc w:val="both"/>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r>
        <w:rPr>
          <w:b w:val="1"/>
          <w:bCs w:val="1"/>
        </w:rPr>
        <w:t xml:space="preserve">․</w:t>
      </w:r>
    </w:p>
    <w:p>
      <w:pPr>
        <w:jc w:val="both"/>
      </w:pPr>
      <w:r>
        <w:rPr/>
        <w:t xml:space="preserve">1. Հայաստանի Հանրապետության կառավարության 2019 թվականի փետրվարի 28-ի «Գյուղատնտեսական հումքի մթերումների (գնումների) նպատակով տրամադրվող վարկերի տոկոսադրույքների սուբսիդավորման ծրագիրը հաստատելու մասին» N 201-Լ որոշման մեջ կատարել հետևյալ լրացումները՝</w:t>
      </w:r>
    </w:p>
    <w:p>
      <w:pPr>
        <w:jc w:val="both"/>
      </w:pPr>
      <w:r>
        <w:rPr/>
        <w:t xml:space="preserve">1) որոշումը 1.3-րդ կետից հետո լրացնել նոր 1.4-րդ կետ՝ հետևյալ բովանդակությամբ՝</w:t>
      </w:r>
    </w:p>
    <w:p>
      <w:pPr>
        <w:jc w:val="both"/>
      </w:pPr>
      <w:r>
        <w:rPr/>
        <w:t xml:space="preserve">«1.4. Գյուղատնտեսական հումքի մթերումների (գնումների) նպատակով տրամադրվող վարկերի տոկոսադրույքների սուբսիդավորման ծրագրի շրջանակում սպանդանոցների կողմից խոշոր եղջերավոր կենդանիների մթերումների (գնումների) նպատակով մինչև 2026 թվականի դեկտեմբերի 30-ը վարկերը տրամադրվում են մինչև 1.5 տարի մարման ժամկետով, սուբսիդավորվում են 9 տոկոսային կետով, իսկ մայր գումարի մարման համար սահմանված արտոնյալ ժամկետը վարկը տրամադրելու պահից հաշվարկվելու է ոչ ավելի, քան 6 ամիս: Վարկի գումարը հաշվարկվելու է սպանդանոցի մակերեսով՝ 1 քառ. մետր մակերեսի համար ոչ ավելի, քան 0.2 մլն դրամ հաշվարկով, իսկ շարժական սպանդանոցի համար՝ ոչ ավելի, քան 5.0 մլն դրամ։ Յուրաքանչյուր շահառուին տրամադրվող վարկերի մայր գումարի մնացորդը չի կարող գերազանցել 20.0 մլն դրամը, իսկ շարժական սպանդանոցի համար՝ 5.0 մլն դրամը։».</w:t>
      </w:r>
    </w:p>
    <w:p>
      <w:pPr>
        <w:jc w:val="both"/>
      </w:pPr>
      <w:r>
        <w:rPr/>
        <w:t xml:space="preserve">2) որոշումը 4.1-ին կետից հետո լրացնել նոր 4.2-րդ կետ՝ հետևյալ բովանդակությամբ՝</w:t>
      </w:r>
    </w:p>
    <w:p>
      <w:pPr>
        <w:jc w:val="both"/>
      </w:pPr>
      <w:r>
        <w:rPr/>
        <w:t xml:space="preserve">«4.2. Սպանդանոցների կողմից խոշոր եղջերավոր կենդանիների մթերումների (գնումների) նպատակով տրամադրվող վարկերի գծով տնտեսավարողների մոտ ապահովման միջոցի ոչ բավարար մակարդակի դեպքում Հայաստանի Հանրապետության կառավարության կողմից հաստատված կարգով մինչև 2026 թվականի դեկտեմբերի 30-ը տրամադրվում է վարկի մինչև 70%-ի չափով բյուջետային երաշխիք, ընդ որում՝ յուրաքանչյուր շահառուին բյուջետային երաշխիք տրամադրվում է մեկ անգամ՝ առավելագույնը 14.0 մլն դրամ գումարի չափով։».</w:t>
      </w:r>
    </w:p>
    <w:p>
      <w:pPr>
        <w:jc w:val="both"/>
      </w:pPr>
      <w:r>
        <w:rPr/>
        <w:t xml:space="preserve">2. Սույն որոշումն ուժի մեջ է մտնում հրապարակմանը հաջորդող օրվանից։</w:t>
      </w:r>
    </w:p>
    <w:p>
      <w:pPr/>
      <w:r>
        <w:rPr/>
        <w:t xml:space="preserve"> </w:t>
      </w:r>
    </w:p>
    <w:p>
      <w:pPr/>
      <w:r>
        <w:rPr/>
        <w:t xml:space="preserve"> </w:t>
      </w:r>
    </w:p>
    <w:p>
      <w:pPr/>
      <w:r>
        <w:rPr/>
        <w:t xml:space="preserve"> </w:t>
      </w:r>
      <w:r>
        <w:rPr>
          <w:b w:val="1"/>
          <w:bCs w:val="1"/>
        </w:rPr>
        <w:t xml:space="preserve">ՀԱՅԱՍՏԱՆԻ ՀԱՆՐԱՊԵՏՈՒԹՅԱՆ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2026-03-31T13:50:31+04:00</dcterms:created>
  <dcterms:modified xsi:type="dcterms:W3CDTF">2026-03-31T13:50:31+04:00</dcterms:modified>
</cp:coreProperties>
</file>

<file path=docProps/custom.xml><?xml version="1.0" encoding="utf-8"?>
<Properties xmlns="http://schemas.openxmlformats.org/officeDocument/2006/custom-properties" xmlns:vt="http://schemas.openxmlformats.org/officeDocument/2006/docPropsVTypes"/>
</file>