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ՇԻՐԱԿԻ ՄԱՐԶԻ ԱՇՈՑՔ ՀԱՄԱՅՆՔԻ ԲԱՎՐԱ ԲՆԱԿԱՎԱՅՐԻ 2-ՐԴ ՓՈՂՈՑԻ № 6 ՀԱՍՑԵԻ ՀՈՂԱՄԱՍԻ ՆԿԱՏՄԱՄԲ ՀԱՆՐՈՒԹՅԱՆ ԳԵՐԱԿԱ ՇԱՀ ՃԱՆԱՉԵԼՈՒ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«      » </w:t>
      </w:r>
      <w:r>
        <w:rPr>
          <w:b w:val="1"/>
          <w:bCs w:val="1"/>
          <w:u w:val="single"/>
        </w:rPr>
        <w:t xml:space="preserve">              </w:t>
      </w:r>
      <w:r>
        <w:rPr>
          <w:b w:val="1"/>
          <w:bCs w:val="1"/>
        </w:rPr>
        <w:t xml:space="preserve">  2025 թվականի  № </w:t>
      </w:r>
      <w:r>
        <w:rPr>
          <w:b w:val="1"/>
          <w:bCs w:val="1"/>
          <w:u w:val="single"/>
        </w:rPr>
        <w:t xml:space="preserve">_    </w:t>
      </w:r>
      <w:r>
        <w:rPr>
          <w:b w:val="1"/>
          <w:bCs w:val="1"/>
        </w:rPr>
        <w:t xml:space="preserve">-Ն 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ՇԻՐԱԿԻ ՄԱՐԶԻ ԱՇՈՑՔ ՀԱՄԱՅՆՔԻ ԲԱՎՐԱ ԲՆԱԿԱՎԱՅՐԻ 2-ՐԴ ՓՈՂՈՑԻ № 6 ՀԱՍՑԵԻ ՀՈՂԱՄԱՍԻ ՆԿԱՏՄԱՄԲ ՀԱՆՐՈՒԹՅԱՆ ԳԵՐԱԿԱ ՇԱՀ ՃԱՆԱՉԵԼՈՒ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«Հանրության գերակա շահերի ապահովման նպատակով սեփականության օտարման մասին» ՀՀ օրենքի 4-րդ, 5-րդ ու 7-րդ հոդվածների դրույթներով և հիմք ընդունելով ՀՀ կառավարության 2023 թվականի նոյեմբերի 30-ի «Հայաստանի Հանրապետության կառավարության «Մինչև 2026 թվականը կառուցվող, հիմնանորագվող կամ վերանորոգվող 300 դպրոցներ»-ի ծրագրում ընդգրկված դպրոցների ցանկը հաստատելու և ցանկում ընդգրկված դպրոցների համար սահմանված շինարարական աշխատանքների՝ կառուցման, վերակառուցման կամ հիմնանորոգման համար միջամտության աստիճանի ընտրության չափորոշիչները սահմանելու մասին» № 2093-Ն որոշման № 1 հավելվածով սահմանված «Հայաստանի Հանրապետության կառավարության «Մինչև 2026 թվականը կառուցվող, հիմնանորագվող կամ վերանորոգվող 300 դպրոցներ»-ի ծրագրում ընդգրկված դպրոցների ցանկի 195-րդ կետը, Հայաստանի Հանրապետության կառավարությունը </w:t>
      </w:r>
      <w:r>
        <w:rPr>
          <w:b w:val="1"/>
          <w:bCs w:val="1"/>
        </w:rPr>
        <w:t xml:space="preserve">որոշում է. </w:t>
      </w:r>
    </w:p>
    <w:p>
      <w:pPr/>
      <w:r>
        <w:rPr>
          <w:b w:val="1"/>
          <w:bCs w:val="1"/>
        </w:rPr>
        <w:t xml:space="preserve">1․</w:t>
      </w:r>
      <w:r>
        <w:rPr/>
        <w:t xml:space="preserve"> Սույն որոշման №№ 1 և 2 հավելվածներում նշված տարածքի նկատմամբ ճանաչել հանրության գերակա շահ՝ հետևյալ հիմնավորումներով՝</w:t>
      </w:r>
    </w:p>
    <w:p>
      <w:pPr/>
      <w:r>
        <w:rPr/>
        <w:t xml:space="preserve">1) ՀՀ Շիրակի մարզի Աշոցք համայնքի Բավրա բնակավայրում կրթահամալիրի կառուցման ծրագրի իրականացման շահը գերակայում է օտարվող սեփականության սեփականատիրոջ շահից, քանի որ՝</w:t>
      </w:r>
    </w:p>
    <w:p>
      <w:pPr/>
      <w:r>
        <w:rPr/>
        <w:t xml:space="preserve">ա. ծրագրի իրականացումը բխում է հանրակրթության ոլորտում բարեփոխումների ՀՀ կառավարության ռազմավարության պահանջներից,</w:t>
      </w:r>
    </w:p>
    <w:p>
      <w:pPr/>
      <w:r>
        <w:rPr/>
        <w:t xml:space="preserve">բ. նախատեսվող կրթահամալիրի կառուցման արդյունքում կապահովվի կրթության զարգացումը տվյալ բնակավայրում, էականորեն կբարելավվեն պայմանները, որոնք կնպաստեն ուսումնական գործընթացի կազմակերպման արդյունավետության բարձրացմանը,</w:t>
      </w:r>
    </w:p>
    <w:p>
      <w:pPr/>
      <w:r>
        <w:rPr/>
        <w:t xml:space="preserve">2) ծրագրի արդյունավետ իրագործումը չի կարող ապահովվել առանց սույն որոշման №№ 1 և 2 հավելվածներում ընդգրկված սեփականության օբյեկտի օտարման, քանի որ այն գտնվում է կրթահամալիրի նախագծով նախատեսված կառուցապատման գոտում և անհնար է ապահովել ծրագրով նախատեսված միջոցառումների իրականացումը՝ առանց դրա օտարման:</w:t>
      </w:r>
    </w:p>
    <w:p>
      <w:pPr/>
      <w:r>
        <w:rPr>
          <w:b w:val="1"/>
          <w:bCs w:val="1"/>
        </w:rPr>
        <w:t xml:space="preserve">2․</w:t>
      </w:r>
      <w:r>
        <w:rPr/>
        <w:t xml:space="preserve"> Սահմանել, որ՝</w:t>
      </w:r>
    </w:p>
    <w:p>
      <w:pPr/>
      <w:r>
        <w:rPr/>
        <w:t xml:space="preserve">1) սույն որոշման 1-ին կետում նշված տարածքի ձեռք բերող է հանդիսանում Հայաստանի Հանրապետությունը՝ ի դեմս ՀՀ պետական գույքի կառավարման կոմիտեի.</w:t>
      </w:r>
    </w:p>
    <w:p>
      <w:pPr/>
      <w:r>
        <w:rPr/>
        <w:t xml:space="preserve">2) նախատեսված օտարման գործառույթների իրականացումը համակարգող և պատասխանատու մարմինը հանդիսանում է ՀՀ պետական գույքի կառավարման կոմիտեն.</w:t>
      </w:r>
    </w:p>
    <w:p>
      <w:pPr/>
      <w:r>
        <w:rPr/>
        <w:t xml:space="preserve">3) սեփականության օտարման գործընթացը սկսելու վերջնական ժամկետը  </w:t>
      </w:r>
    </w:p>
    <w:p>
      <w:pPr/>
      <w:r>
        <w:rPr/>
        <w:t xml:space="preserve"> </w:t>
      </w:r>
      <w:r>
        <w:rPr>
          <w:u w:val="single"/>
        </w:rPr>
        <w:t xml:space="preserve">     </w:t>
      </w:r>
      <w:r>
        <w:rPr/>
        <w:t xml:space="preserve">  թվականի </w:t>
      </w:r>
      <w:r>
        <w:rPr>
          <w:u w:val="single"/>
        </w:rPr>
        <w:t xml:space="preserve">                   </w:t>
      </w:r>
      <w:r>
        <w:rPr/>
        <w:t xml:space="preserve">  </w:t>
      </w:r>
      <w:r>
        <w:rPr>
          <w:u w:val="single"/>
        </w:rPr>
        <w:t xml:space="preserve">        </w:t>
      </w:r>
      <w:r>
        <w:rPr/>
        <w:t xml:space="preserve">-ն է.</w:t>
      </w:r>
    </w:p>
    <w:p>
      <w:pPr/>
      <w:r>
        <w:rPr/>
        <w:t xml:space="preserve">4) սույն որոշմամբ հանրության գերակա շահ ճանաչված տարածքի նկարագրության արձանագրության կազմման գործառույթներն իրականացնում է Հայաստանի Հանրապետության պետական գույքի կառավարման կոմիտեն.</w:t>
      </w:r>
    </w:p>
    <w:p>
      <w:pPr/>
      <w:r>
        <w:rPr/>
        <w:t xml:space="preserve">5) սույն որոշմամբ հանրության գերակա շահ ճանաչված տարածքի նկարագրության արձանագրության կազմման աշխատանքներն իրականացվում են Հայաստանի Հանրապետության կառավարության 2007 թվականի հունվարի 25-ի № 108-Ն որոշմամբ սահմանված կարգի և նկարագրության արձանագրության օրինակելի ձևի համաձայն:</w:t>
      </w:r>
    </w:p>
    <w:p>
      <w:pPr/>
      <w:r>
        <w:rPr>
          <w:b w:val="1"/>
          <w:bCs w:val="1"/>
        </w:rPr>
        <w:t xml:space="preserve">3․</w:t>
      </w:r>
      <w:r>
        <w:rPr/>
        <w:t xml:space="preserve"> Հանձնարարել Հայաստանի Հանրապետության պետական գույքի կառավարման կոմիտեի նախագահին՝ սույն որոշման ուժի մեջ մտնելուն հաջորդող 7-օրյա ժամկետում որոշումը պատշաճ ձևով ուղարկել օտարվող սեփականության սեփականատիրոջը:</w:t>
      </w:r>
    </w:p>
    <w:p>
      <w:pPr/>
      <w:r>
        <w:rPr>
          <w:b w:val="1"/>
          <w:bCs w:val="1"/>
        </w:rPr>
        <w:t xml:space="preserve">4․</w:t>
      </w:r>
      <w:r>
        <w:rPr/>
        <w:t xml:space="preserve"> 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 1</w:t>
      </w:r>
    </w:p>
    <w:p>
      <w:pPr>
        <w:jc w:val="end"/>
      </w:pPr>
      <w:r>
        <w:rPr>
          <w:b w:val="1"/>
          <w:bCs w:val="1"/>
        </w:rPr>
        <w:t xml:space="preserve">ՀՀ կառավարության</w:t>
      </w:r>
    </w:p>
    <w:p>
      <w:pPr>
        <w:jc w:val="end"/>
      </w:pPr>
      <w:r>
        <w:rPr>
          <w:b w:val="1"/>
          <w:bCs w:val="1"/>
        </w:rPr>
        <w:t xml:space="preserve">2025 թվականի</w:t>
      </w:r>
      <w:r>
        <w:rPr>
          <w:b w:val="1"/>
          <w:bCs w:val="1"/>
          <w:u w:val="single"/>
        </w:rPr>
        <w:t xml:space="preserve">                   </w:t>
      </w:r>
    </w:p>
    <w:p>
      <w:pPr>
        <w:jc w:val="end"/>
      </w:pPr>
      <w:r>
        <w:rPr>
          <w:b w:val="1"/>
          <w:bCs w:val="1"/>
          <w:u w:val="single"/>
        </w:rPr>
        <w:t xml:space="preserve">                        </w:t>
      </w:r>
      <w:r>
        <w:rPr>
          <w:b w:val="1"/>
          <w:bCs w:val="1"/>
        </w:rPr>
        <w:t xml:space="preserve">-Ն որոշման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>
        <w:jc w:val="center"/>
      </w:pPr>
      <w:r>
        <w:rPr/>
        <w:t xml:space="preserve">ՀԱՅԱՍՏԱՆԻ ՀԱՆՐԱՊԵՏՈՒԹՅԱՆ ՇԻՐԱԿԻ ՄԱՐԶԻ ԱՇՈՑՔ ՀԱՄԱՅՆՔԻ ԲԱՎՐԱ ԲՆԱԿԱՎԱՅՐԻ ՀԱՆՐՈՒԹՅԱՆ ԳԵՐԱԿԱ ՇԱՀ ՃԱՆԱՉՎՈՂ ՀՈՂԱՄԱՍ</w:t>
      </w:r>
    </w:p>
    <w:p>
      <w:pPr/>
      <w:r>
        <w:rPr/>
        <w:t xml:space="preserve"> </w:t>
      </w:r>
    </w:p>
    <w:tbl>
      <w:tblGrid>
        <w:gridCol w:w="1350" w:type="dxa"/>
        <w:gridCol w:w="2100" w:type="dxa"/>
        <w:gridCol w:w="1500" w:type="dxa"/>
      </w:tblGrid>
      <w:tblPr>
        <w:tblW w:w="4850" w:type="pct"/>
        <w:tblLayout w:type="autofit"/>
      </w:tblPr>
      <w:tr>
        <w:trPr/>
        <w:tc>
          <w:tcPr>
            <w:tcW w:w="1350" w:type="pct"/>
            <w:noWrap/>
          </w:tcPr>
          <w:p>
            <w:pPr/>
            <w:r>
              <w:rPr/>
              <w:t xml:space="preserve">Կադաստրային</w:t>
            </w:r>
          </w:p>
          <w:p>
            <w:pPr/>
            <w:r>
              <w:rPr/>
              <w:t xml:space="preserve">ծածկագիր</w:t>
            </w:r>
          </w:p>
        </w:tc>
        <w:tc>
          <w:tcPr>
            <w:tcW w:w="2100" w:type="pct"/>
            <w:noWrap/>
          </w:tcPr>
          <w:p>
            <w:pPr/>
            <w:r>
              <w:rPr/>
              <w:t xml:space="preserve">Հասցե</w:t>
            </w:r>
          </w:p>
        </w:tc>
        <w:tc>
          <w:tcPr>
            <w:tcW w:w="1500" w:type="pct"/>
            <w:noWrap/>
          </w:tcPr>
          <w:p>
            <w:pPr/>
            <w:r>
              <w:rPr/>
              <w:t xml:space="preserve">Նկարագրության արձանագրության կազմման ժամկետը</w:t>
            </w:r>
          </w:p>
        </w:tc>
      </w:tr>
      <w:tr>
        <w:trPr/>
        <w:tc>
          <w:tcPr>
            <w:tcW w:w="1350" w:type="pct"/>
            <w:noWrap/>
          </w:tcPr>
          <w:p>
            <w:pPr/>
            <w:r>
              <w:rPr/>
              <w:t xml:space="preserve">08-026-0009-0007</w:t>
            </w:r>
          </w:p>
        </w:tc>
        <w:tc>
          <w:tcPr>
            <w:tcW w:w="2100" w:type="pct"/>
            <w:noWrap/>
          </w:tcPr>
          <w:p>
            <w:pPr/>
            <w:r>
              <w:rPr/>
              <w:t xml:space="preserve">ՀՀ Շիրակի մարզի Աշոցք համայնքի Բավրա բնակավայրի 2-րդ փողոցի № 6 հողամաս</w:t>
            </w:r>
          </w:p>
        </w:tc>
        <w:tc>
          <w:tcPr>
            <w:tcW w:w="15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 ամիս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2026-04-01T16:35:27+04:00</dcterms:created>
  <dcterms:modified xsi:type="dcterms:W3CDTF">2026-04-01T16:35:27+04:00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