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ԱՐԱԳԱԾՈՏՆԻ, ԱՐԱՐԱՏԻ, ԱՐՄԱՎԻՐԻ, ԳԵՂԱՐՔՈՒՆԻՔԻ, ԿՈՏԱՅՔԻ, ԼՈՌՈՒ ԵՎ ՍՅՈՒՆԻՔԻ  ՄԱՐԶԵՐՈՒՄ ՏԵՂԱՑԱԾ ԿԱՐԿՈՒՏԻ ՀԵՏԵՎԱՆՔՈՎ ՀՈՂՕԳՏԱԳՈՐԾՈՂՆԵՐԻՆ ՊԱՏՃԱՌՎԱԾ ՎՆԱՍՆԵՐԻ ԱՋԱԿՑՈՒԹՅԱՆ ՏՐԱՄԱԴՐՄԱՆ ԿԱՐԳԸ ԵՎ ԱՋԱԿՑՈՒԹՅԱՆ ԳՈՒՄԱՐՆԵՐԻ ՉԱՓԸ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«___» _________ 2024 թվական N __ - Լ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 ԱՐԱԳԱԾՈՏՆԻ, ԱՐԱՐԱՏԻ, ԱՐՄԱՎԻՐԻ, ԳԵՂԱՐՔՈՒՆԻՔԻ, ԿՈՏԱՅՔԻ, ԼՈՌՈՒ ԵՎ ՍՅՈՒՆԻՔԻ</w:t>
      </w:r>
      <w:r>
        <w:rPr/>
        <w:t xml:space="preserve"> </w:t>
      </w:r>
      <w:r>
        <w:rPr>
          <w:b w:val="1"/>
          <w:bCs w:val="1"/>
        </w:rPr>
        <w:t xml:space="preserve"> ՄԱՐԶԵՐՈՒՄ ՏԵՂԱՑԱԾ ԿԱՐԿՈՒՏԻ</w:t>
      </w:r>
      <w:r>
        <w:rPr>
          <w:b w:val="1"/>
          <w:bCs w:val="1"/>
        </w:rPr>
        <w:t xml:space="preserve"> ՀԵՏԵՎԱՆՔՈՎ ՀՈՂՕԳՏԱԳՈՐԾՈՂՆԵՐԻՆ ՊԱՏՃԱՌՎԱԾ ՎՆԱՍՆԵՐԻ ԱՋԱԿՑՈՒԹՅԱՆ ՏՐԱՄԱԴՐՄԱՆ ԿԱՐԳԸ ԵՎ ԱՋԱԿՑՈՒԹՅԱՆ ԳՈՒՄԱՐՆԵՐԻ ՉԱՓԸ ՀԱՍՏԱՏԵԼՈՒ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«Արտակարգ իրավիճակներում բնակչության պաշտպանության մասին» օրենքի 12-րդ հոդվածի 1-ին մասի «զ» կետը՝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</w:p>
    <w:p>
      <w:pPr/>
      <w:r>
        <w:rPr/>
        <w:t xml:space="preserve">1</w:t>
      </w:r>
      <w:r>
        <w:rPr>
          <w:b w:val="1"/>
          <w:bCs w:val="1"/>
        </w:rPr>
        <w:t xml:space="preserve">․</w:t>
      </w:r>
      <w:r>
        <w:rPr/>
        <w:t xml:space="preserve">Հաստատել՝</w:t>
      </w:r>
    </w:p>
    <w:p>
      <w:pPr/>
      <w:r>
        <w:rPr/>
        <w:t xml:space="preserve"> 1) Հայաստանի Հանրապետության Արագածոտնի, Արարատի, Արմավիրի, Գեղարքունիքի, Կոտայքի, Լոռու և Սյունիքի մարզերում տեղացած կարկուտի հետևանքով հողօգտագործողներին պատճառված վնասների աջակցության տրամադրման կարգը՝ համաձայն հավելված N 1-ի․</w:t>
      </w:r>
    </w:p>
    <w:p>
      <w:pPr/>
      <w:r>
        <w:rPr/>
        <w:t xml:space="preserve">2) Հայաստանի Հանրապետության Արագածոտնի, Արարատի, Արմավիրի, Գեղարքունիքի, Կոտայքի, Լոռու և Սյունիքի մարզերում տեղացած կարկուտի հետևանքով հողօգտագործողներին պատճառված վնասների աջակցության գումարների չափը՝ համաձայն հավելված N 2-ի:</w:t>
      </w:r>
    </w:p>
    <w:p>
      <w:pPr/>
      <w:r>
        <w:rPr/>
        <w:t xml:space="preserve">2․ Հայաստանի Հանրապետության էկոնոմիկայի նախարարին՝ սույն որոշումն ուժի մեջ մտնելուց հետո մեկամսյա ժամկետում ներկայացնել առաջարկություններ «Հայաստանի Հանրապետության 2024 թվականի պետական բյուջեի մասին» Հայաստանի Հանրապետության օրենքում վերաբաշխում, լրացում և Հայաստանի Հանրապետության կառավարության 2023 թվականի դեկտեմբերի 28-ի «Հայաստանի Հանրապետության 2024 թվականի պետական բյուջեի կատարումն ապահովող միջոցառումների մասին» N 2323-Ն որոշման մեջ համապատասխան փոփոխություններ և լրացումներ կատարելու վերաբերյալ:</w:t>
      </w:r>
    </w:p>
    <w:p>
      <w:pPr/>
      <w:r>
        <w:rPr/>
        <w:t xml:space="preserve">3․Սույն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60" w:type="dxa"/>
        <w:gridCol w:w="5050" w:type="dxa"/>
      </w:tblGrid>
      <w:tblPr>
        <w:tblW w:w="5050" w:type="pct"/>
        <w:tblLayout w:type="autofit"/>
      </w:tblPr>
      <w:tr>
        <w:trPr/>
        <w:tc>
          <w:tcPr>
            <w:tcW w:w="456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50" w:type="pct"/>
            <w:noWrap/>
          </w:tcPr>
          <w:p>
            <w:pPr/>
            <w:r>
              <w:rPr>
                <w:b w:val="1"/>
                <w:bCs w:val="1"/>
              </w:rPr>
              <w:t xml:space="preserve">                                           Ն</w:t>
            </w:r>
            <w:r>
              <w:rPr>
                <w:b w:val="1"/>
                <w:bCs w:val="1"/>
              </w:rPr>
              <w:t xml:space="preserve">. 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2026-04-01T10:40:33+04:00</dcterms:created>
  <dcterms:modified xsi:type="dcterms:W3CDTF">2026-04-01T10:40:33+04:00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