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 ԵՎ ՓՈՓՈԽՈՒԹՅՈՒՆ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(այսուհետ` Օրենսգիրք) 416-րդ հոդվածի 2-րդ մասում «բացառությամբ սույն հոդվածի 4-րդ մասում նշված դեպքի» բառերը փոխարինել «բացառությամբ սույն հոդվածի 4-րդ, 6-րդ և 7-րդ մասերում նշված դեպքերի» բառերով»: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416-րդ հոդվածը լրացնել հետևյալ բովանդակությամբ նոր՝ 6-րդ և 7-րդ մասերով.</w:t>
      </w:r>
    </w:p>
    <w:p>
      <w:pPr/>
      <w:r>
        <w:rPr/>
        <w:t xml:space="preserve">«6. Հսկիչ դրամարկղային մեքենայի կտրոնի վրա սխալ ապրանքային դիրք կամ աշխատանքի կամ ծառայության սխալ կոդ տպագրելն այն դեպք</w:t>
      </w:r>
      <w:r>
        <w:rPr>
          <w:strike w:val="1"/>
        </w:rPr>
        <w:t xml:space="preserve">եր</w:t>
      </w:r>
      <w:r>
        <w:rPr/>
        <w:t xml:space="preserve">ում, երբ պահպանված են հսկիչ դրամարկղային մեքենայի կիրառության համար սահմանված մյուս բոլոր կանոնները, կիրառվում է նախազգուշացում:</w:t>
      </w:r>
    </w:p>
    <w:p>
      <w:pPr>
        <w:numPr>
          <w:ilvl w:val="0"/>
          <w:numId w:val="2"/>
        </w:numPr>
      </w:pPr>
      <w:r>
        <w:rPr/>
        <w:t xml:space="preserve">Սույն հոդվածի 6-րդ մասում նշված խախտումը թեմատիկ հարկային ստուգման ակտով արձանագրելուն հաջորդող մեկ տարվա ընթացքում կրկին կատարելու դեպքում հարկ վճարողից գանձվում է տուգանք` 50 հազար դրամի չափով: Սույն մասի կիրառության իմաստով՝ խախտումը կրկին կատարել է համարվում թեմատիկ հարկային ստուգման ակտի ամսաթվից հետո՝ մեկ տարվա ընթացքում, մինչև հաջորդ թեմատիկ հարկային ստուգման ակտի ամսաթիվը, սույն հոդվածի՝ 6-րդ մասով սահմանված խախտումը կատարելը:»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2025 թվականի հունվարի 1-ից: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7BC2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2026-03-31T11:45:14+04:00</dcterms:created>
  <dcterms:modified xsi:type="dcterms:W3CDTF">2026-03-31T11:45:14+04:00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