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 ԳԵՂԱՐՔՈՒՆԻՔԻ  ՄԱՐԶԻ  ԳԱՎԱՌ  ՀԱՄԱՅՆՔԻ 2024  ԹՎԱԿԱՆԻ  ԲՅՈՒՋԵՆ  ՀԱՍՏԱՏԵԼՈՒ  ՄԱՍԻՆ</w:t>
      </w:r>
      <w:bookmarkEnd w:id="0"/>
    </w:p>
    <w:p>
      <w:pPr>
        <w:jc w:val="end"/>
      </w:pPr>
      <w:r>
        <w:rPr/>
        <w:t xml:space="preserve">«ՆԱԽԱԳԻԾ»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ՀԱՆՐԱՊԵՏՈՒԹՅՈՒՆ</w:t>
      </w:r>
    </w:p>
    <w:p>
      <w:pPr>
        <w:jc w:val="center"/>
      </w:pPr>
      <w:r>
        <w:rPr>
          <w:b w:val="1"/>
          <w:bCs w:val="1"/>
        </w:rPr>
        <w:t xml:space="preserve">ԳԵՂԱՐՔՈՒՆԻՔԻ ՄԱՐԶ</w:t>
      </w:r>
    </w:p>
    <w:p>
      <w:pPr>
        <w:jc w:val="center"/>
      </w:pPr>
      <w:r>
        <w:rPr>
          <w:b w:val="1"/>
          <w:bCs w:val="1"/>
        </w:rPr>
        <w:t xml:space="preserve">ԳԱՎԱՌ ՀԱՄԱՅՆՔԻ ԱՎԱԳԱՆԻ </w:t>
      </w:r>
    </w:p>
    <w:p>
      <w:pPr>
        <w:jc w:val="center"/>
      </w:pPr>
      <w:r>
        <w:rPr>
          <w:b w:val="1"/>
          <w:bCs w:val="1"/>
        </w:rPr>
        <w:t xml:space="preserve">ՈՐՈՇՈՒՄ (Ն)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Դեկտեմբեր  2023թ.                                                                                            ք. Գավառ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  ԳԵՂԱՐՔՈՒՆԻՔԻ  ՄԱՐԶԻ  ԳԱՎԱՌ  ՀԱՄԱՅՆՔԻ</w:t>
      </w:r>
    </w:p>
    <w:p>
      <w:pPr>
        <w:jc w:val="center"/>
      </w:pPr>
      <w:r>
        <w:rPr/>
        <w:t xml:space="preserve">2024  ԹՎԱԿԱՆԻ  ԲՅՈՒՋԵՆ  ՀԱՍՏԱՏԵԼՈՒ  ՄԱՍԻՆ</w:t>
      </w:r>
    </w:p>
    <w:p>
      <w:pPr/>
      <w:r>
        <w:rPr/>
        <w:t xml:space="preserve"> </w:t>
      </w:r>
    </w:p>
    <w:p>
      <w:pPr/>
      <w:r>
        <w:rPr/>
        <w:t xml:space="preserve">Ղեկավարվելով «Տեղական ինքնակառավարման մասին» Հայաստանի Հանրապետության օրենքի 18-րդ հոդվածի 1-ին մասի 5-րդ կետի   և </w:t>
      </w:r>
      <w:r>
        <w:rPr>
          <w:b w:val="1"/>
          <w:bCs w:val="1"/>
        </w:rPr>
        <w:t xml:space="preserve">  </w:t>
      </w:r>
      <w:r>
        <w:rPr/>
        <w:t xml:space="preserve">«Հայաստանի Հանրապետության բյուջետային համակարգի մասին» Հայաստանի Հանրապետության օրենքի 32-րդ հոդվածի, 33-րդ հոդվածի 3րդ մասի պահանջներով՝ Գավառ համայնքի ավագանին որոշում է.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Հաստատել  Գավառ համայնքի 2024 թվականի բյուջեն</w:t>
      </w:r>
    </w:p>
    <w:p>
      <w:pPr/>
      <w:r>
        <w:rPr/>
        <w:t xml:space="preserve">1) եկամուտների գծով՝      2,653,139.000 /երկու միլիարդ վեց հարյուր հիսուներեք միլիոն մեկ հարյուր երեսունինն հազար / ՀՀ դրամ, որից՝                            </w:t>
      </w:r>
    </w:p>
    <w:p>
      <w:pPr/>
      <w:r>
        <w:rPr/>
        <w:t xml:space="preserve">սեփական եկամուտներ    819,500.000 /ութ հարյուր տասնըինն միլիոն հինգ հարյուր հազար/ ՀՀ դրամ</w:t>
      </w:r>
    </w:p>
    <w:p>
      <w:pPr/>
      <w:r>
        <w:rPr/>
        <w:t xml:space="preserve">2) ծախսերի գծով՝      2,653,139.000 /երկու միլիարդ վեց հարյուր հիսուներեք միլիոն մեկ հարյուր երեսունինն հազար /  ՀՀ դրամ,</w:t>
      </w:r>
    </w:p>
    <w:p>
      <w:pPr>
        <w:numPr>
          <w:ilvl w:val="0"/>
          <w:numId w:val="3"/>
        </w:numPr>
      </w:pPr>
      <w:r>
        <w:rPr/>
        <w:t xml:space="preserve">Հաստատել համայնքի բյուջեի եկամուտները ըստ առանձին եկամտատեսակների՝ (հավելված 1)</w:t>
      </w:r>
    </w:p>
    <w:p>
      <w:pPr>
        <w:numPr>
          <w:ilvl w:val="0"/>
          <w:numId w:val="3"/>
        </w:numPr>
      </w:pPr>
      <w:r>
        <w:rPr/>
        <w:t xml:space="preserve">Հաստատել համայնքի բյուջեի ծախսերը ըստ գոռծնառական դասակարգման՝  (հավելված 2)</w:t>
      </w:r>
    </w:p>
    <w:p>
      <w:pPr>
        <w:numPr>
          <w:ilvl w:val="0"/>
          <w:numId w:val="3"/>
        </w:numPr>
      </w:pPr>
      <w:r>
        <w:rPr/>
        <w:t xml:space="preserve">Հաստատել համայնքի բյուջեի ծախսերը ըստ տնտեսագիտական դասակարգման՝  (հավելված 3)</w:t>
      </w:r>
    </w:p>
    <w:p>
      <w:pPr>
        <w:numPr>
          <w:ilvl w:val="0"/>
          <w:numId w:val="3"/>
        </w:numPr>
      </w:pPr>
      <w:r>
        <w:rPr/>
        <w:t xml:space="preserve">Հաստատել համայնքի բյուջեի հավելուրդը կամ դեֆիցիտը /պակասուրդը/ ՝   (հավելված 4)</w:t>
      </w:r>
    </w:p>
    <w:p>
      <w:pPr>
        <w:numPr>
          <w:ilvl w:val="0"/>
          <w:numId w:val="3"/>
        </w:numPr>
      </w:pPr>
      <w:r>
        <w:rPr/>
        <w:t xml:space="preserve">Հաստատել համայնքի բյուջեի հավելուրդի օգտագործման ուղությունները կամ  դեֆիցիտի /պակասուրդի/ ֆինանսավորման աղբյուրները՝ (հավելված 5)</w:t>
      </w:r>
    </w:p>
    <w:p>
      <w:pPr>
        <w:numPr>
          <w:ilvl w:val="0"/>
          <w:numId w:val="3"/>
        </w:numPr>
      </w:pPr>
      <w:r>
        <w:rPr/>
        <w:t xml:space="preserve">Հաստատել համայնքի բյուջեի ծախսերը ըստ բյուջետային ծախսերի գործառնական և տնտեսագիտական դասակարգման՝ (հավելված 6)</w:t>
      </w:r>
    </w:p>
    <w:p>
      <w:pPr>
        <w:numPr>
          <w:ilvl w:val="0"/>
          <w:numId w:val="3"/>
        </w:numPr>
      </w:pPr>
      <w:r>
        <w:rPr/>
        <w:t xml:space="preserve">Թույլատրել համայնքի ղեկավարին՝ համայնքի բյուջեում կատարել փոփոխություններ որոնց հանրագումարը չի կարող գերազանցել հաստատված ծավալի 20 %:</w:t>
      </w:r>
    </w:p>
    <w:p>
      <w:pPr>
        <w:numPr>
          <w:ilvl w:val="0"/>
          <w:numId w:val="3"/>
        </w:numPr>
      </w:pPr>
      <w:r>
        <w:rPr/>
        <w:t xml:space="preserve">Սույն որոշումը ուժի մեջ է մտնում պաշտոնական հրապարակմանը  հաջորդող    օրվանից և տարածվում է 2024 թվականի  հունվարի  1-ից  ծագող հարաբերությունների վրա:</w:t>
      </w:r>
    </w:p>
    <w:p>
      <w:pPr/>
      <w:r>
        <w:rPr/>
        <w:t xml:space="preserve">  </w:t>
      </w:r>
    </w:p>
    <w:p>
      <w:pPr>
        <w:jc w:val="center"/>
      </w:pPr>
      <w:r>
        <w:rPr/>
        <w:t xml:space="preserve">ՀԱՄԱՅՆՔԻ ՂԵԿԱՎԱՐ                                                                                            Գ.Ե. ՄԱՐՏԻՐՈՍՅԱՆ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6C7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BB3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2026-04-01T06:15:33+04:00</dcterms:created>
  <dcterms:modified xsi:type="dcterms:W3CDTF">2026-04-01T06:15:33+04:00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