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«ԷԼԵԿՏՐՈՆԱՅԻՆ ՀԱՂՈՐԴԱԿՑՈՒԹՅԱՆ ՄԱՍԻՆ» ՀԱՅԱՍՏԱՆԻ  ՀԱՆՐԱՊԵՏՈՒԹՅԱՆ ՕՐԵՆՔՈՒՄ ԼՐԱՑՈՒՄ ԵՎ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ԷԼԵԿՏՐՈՆԱՅԻՆ</w:t>
      </w:r>
      <w:r>
        <w:rPr/>
        <w:t xml:space="preserve"> </w:t>
      </w:r>
      <w:r>
        <w:rPr>
          <w:b w:val="1"/>
          <w:bCs w:val="1"/>
        </w:rPr>
        <w:t xml:space="preserve">ՀԱՂՈՐԴԱԿՑՈՒԹՅԱՆ</w:t>
      </w:r>
      <w:r>
        <w:rPr>
          <w:b w:val="1"/>
          <w:bCs w:val="1"/>
        </w:rPr>
        <w:t xml:space="preserve"> ՄԱՍԻՆ» </w:t>
      </w:r>
      <w:r>
        <w:rPr>
          <w:b w:val="1"/>
          <w:bCs w:val="1"/>
        </w:rPr>
        <w:t xml:space="preserve">ՀԱՅԱՍՏԱՆԻ</w:t>
      </w:r>
    </w:p>
    <w:p>
      <w:pPr>
        <w:jc w:val="center"/>
      </w:pP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ԵՎ 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             </w:t>
      </w:r>
    </w:p>
    <w:p>
      <w:pPr/>
      <w:r>
        <w:rPr>
          <w:b w:val="1"/>
          <w:bCs w:val="1"/>
        </w:rPr>
        <w:t xml:space="preserve">              </w:t>
      </w:r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1. </w:t>
      </w:r>
      <w:r>
        <w:rPr/>
        <w:t xml:space="preserve">«Էլեկտրոնային հաղորդակցության մասին» Հայաստանի Հանրապետության 2005 թվականի հուլիսի 8-ի ՀՕ-176 օրենքի (այսուհետ` Օրենք) 49-րդ հոդվածի 1-ին մասում «և տեխնիկական պայմանների» բառերը փոխարինել «, տեխնիկական պայմանների և հաճախորդի անձնական տվյալների» բառերով:</w:t>
      </w:r>
    </w:p>
    <w:p>
      <w:pPr/>
      <w:r>
        <w:rPr>
          <w:b w:val="1"/>
          <w:bCs w:val="1"/>
        </w:rPr>
        <w:t xml:space="preserve">              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Օրենքի 49-րդ հոդվածը լրացնել 2.2 ենթակետով` հետևյալ խմբագրությամբ.</w:t>
      </w:r>
    </w:p>
    <w:p>
      <w:pPr/>
      <w:r>
        <w:rPr/>
        <w:t xml:space="preserve">«2.2 Օպերատորը կամ ծառայություններ մատուցողն իրավասու է Կարգավորողի կողմից սահմանված կարգով բացահայտել իր հաճախորդի կողմից օգտագործվող ծառայության վայրի վերաբերյալ տեղեկությունները (հաճախորդի տեղորոշում) և հաճախորդի անձնական տվյալները՝ դեպի արտակարգ պատահարների արագ արձագանքման ծառայության 112 (911) և ՀՀ ոստիկանության 102 համարներին կատարվող կանչերի դեպքում։ Կարգավորողը հաստատում է սույն կետով նախատեսված կարգը, այդ թվում՝ տեղորոշման համակարգի գործարկման պայմաններն ու համակարգի տեխնիկական նախագծի համաձայնեցմանը ներկայացվող պահանջները՝ նախապես համաձայնեցնելով իրավասու մարմնի հետ։»:</w:t>
      </w:r>
    </w:p>
    <w:p>
      <w:pPr/>
      <w:r>
        <w:rPr>
          <w:b w:val="1"/>
          <w:bCs w:val="1"/>
        </w:rPr>
        <w:t xml:space="preserve">              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/>
        <w:t xml:space="preserve">Օրենքի 49-րդ հոդվածի 3-րդ մասի «և 2.1-ին» բառերը փոխարինել «, 2.1 և 2.2 մասերի» բառերով:</w:t>
      </w:r>
    </w:p>
    <w:p>
      <w:pPr/>
      <w:r>
        <w:rPr>
          <w:b w:val="1"/>
          <w:bCs w:val="1"/>
        </w:rPr>
        <w:t xml:space="preserve">              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օրը։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2026-04-03T20:08:18+04:00</dcterms:created>
  <dcterms:modified xsi:type="dcterms:W3CDTF">2026-04-03T20:08:18+04:00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