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 ՑԵՄԵՆՏԻ ՆԵՐՄՈՒԾՄԱՆ ԺԱՄԱՆԱԿԱՎՈՐ ՍԱՀՄԱՆԱՓԱԿՈՒՄ ԿԻՐԱՌԵԼՈՒ, ՆԵՐՄՈՒԾՄԱՆ ԼԻՑԵՆԶԱՎՈՐՄԱՆ ԸՆԹԱՑԱԿԱՐԳԸ ԵՎ ԼԻՑԵՆԶԻԱՅԻ ՁԵՎԸ ՍԱՀՄԱՆԵԼՈՒ ՄԱՍԻՆ</w:t>
      </w:r>
      <w:bookmarkEnd w:id="0"/>
    </w:p>
    <w:p>
      <w:pPr/>
      <w:r>
        <w:rPr/>
        <w:t xml:space="preserve">Հիմք ընդունելով «Առևտրի և ծառայությունների մասին» Հայաստանի Հանրապետության օրենքի 2-րդ հոդվածի 1-ին մասի 27-րդ պարբերությունն ու 2.1-ին հոդվածը և համաձայն «Եվրասիական տնտեսական միության մասին» պայմանագրի 47-րդ հոդվածի` Հայաստանի Հանրապետության կառավարությունը </w:t>
      </w:r>
      <w:r>
        <w:rPr>
          <w:b w:val="1"/>
          <w:bCs w:val="1"/>
        </w:rPr>
        <w:t xml:space="preserve">որոշում է.</w:t>
      </w:r>
    </w:p>
    <w:p>
      <w:pPr>
        <w:numPr>
          <w:ilvl w:val="0"/>
          <w:numId w:val="2"/>
        </w:numPr>
      </w:pPr>
      <w:r>
        <w:rPr/>
        <w:t xml:space="preserve">Սահմանել, որ՝</w:t>
      </w:r>
    </w:p>
    <w:p>
      <w:pPr/>
      <w:r>
        <w:rPr/>
        <w:t xml:space="preserve">1) ԵԱՏՄ ԱՏԳ ԱԱ 2523 (բացառությամբ ԱՏԳ ԱԱ 2523100000, 2523210000) ապրանքային դիրքի ծածկագրերին դասվող ապրանքների «Բացթողում՝ ներքին սպառման համար», «Վերամշակում՝ մաքսային տարածքում» և «Վերամշակում՝ ներքին սպառման համար» մաքսային ընթացակարգերով ներմուծումն իրականացվում է լիցենզիաների հիման վրա.</w:t>
      </w:r>
    </w:p>
    <w:p>
      <w:pPr/>
      <w:r>
        <w:rPr/>
        <w:t xml:space="preserve">2) սույն կետի 1-ին ենթակետում նշված ապրանքների ներմուծման նպատակով լիցենզիան տրամադրվում է յուրաքանչյուր մինչև հարյուր տոննայի համար:</w:t>
      </w:r>
    </w:p>
    <w:p>
      <w:pPr>
        <w:numPr>
          <w:ilvl w:val="0"/>
          <w:numId w:val="3"/>
        </w:numPr>
      </w:pPr>
      <w:r>
        <w:rPr/>
        <w:t xml:space="preserve">Լիցենզիաների տրամադրման համար լիազոր մարմին սահմանել Հայաստանի Հանրապետության էկոնոմիկայի նախարարությունը:</w:t>
      </w:r>
    </w:p>
    <w:p>
      <w:pPr>
        <w:numPr>
          <w:ilvl w:val="0"/>
          <w:numId w:val="3"/>
        </w:numPr>
      </w:pPr>
      <w:r>
        <w:rPr/>
        <w:t xml:space="preserve">Սահմանել ԵԱՏՄ ԱՏԳ ԱԱ 2523 (բացառությամբ ԱՏԳ ԱԱ 2523100000, 2523210000) ապրանքային դիրքի ծածկագրերին դասվող ապրանքների «Բացթողում՝ ներքին սպառման համար», «Վերամշակում՝ մաքսային տարածքում» և «Վերամշակում՝ ներքին սպառման համար» մաքսային ընթացակարգերով ներմուծման լիցենզավորման ընթացակարգը և լիցենզիայի ձևը` համաձայն հավելվածի։</w:t>
      </w:r>
    </w:p>
    <w:p>
      <w:pPr>
        <w:numPr>
          <w:ilvl w:val="0"/>
          <w:numId w:val="3"/>
        </w:numPr>
      </w:pPr>
      <w:r>
        <w:rPr/>
        <w:t xml:space="preserve">Սույն որոշումն ուժի մեջ է մտնում 2024 թվականի հունվարի 18-ից և գործում է մինչև 2024 թվականի հուլիսի 18-ը։</w:t>
      </w:r>
    </w:p>
    <w:p>
      <w:pPr/>
      <w:r>
        <w:rPr/>
        <w:t xml:space="preserve"> </w:t>
      </w:r>
    </w:p>
    <w:p>
      <w:pPr/>
      <w:r>
        <w:rPr/>
        <w:t xml:space="preserve"> </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r>
        <w:rPr/>
        <w:t xml:space="preserve"> </w:t>
      </w:r>
    </w:p>
    <w:p>
      <w:pPr/>
      <w:r>
        <w:rPr>
          <w:b w:val="1"/>
          <w:bCs w:val="1"/>
        </w:rPr>
        <w:t xml:space="preserve"> </w:t>
      </w:r>
    </w:p>
    <w:p>
      <w:pPr>
        <w:jc w:val="end"/>
      </w:pPr>
      <w:r>
        <w:rPr/>
        <w:t xml:space="preserve">Հավելված</w:t>
      </w:r>
    </w:p>
    <w:p>
      <w:pPr>
        <w:jc w:val="end"/>
      </w:pPr>
      <w:r>
        <w:rPr/>
        <w:t xml:space="preserve">ՀՀ կառավարության 2023 թվականի</w:t>
      </w:r>
    </w:p>
    <w:p>
      <w:pPr>
        <w:jc w:val="end"/>
      </w:pPr>
      <w:r>
        <w:rPr/>
        <w:t xml:space="preserve">__  ___________ N ____-Ն որոշման</w:t>
      </w:r>
    </w:p>
    <w:p>
      <w:pPr>
        <w:jc w:val="end"/>
      </w:pPr>
      <w:r>
        <w:rPr>
          <w:b w:val="1"/>
          <w:bCs w:val="1"/>
        </w:rPr>
        <w:t xml:space="preserve"> </w:t>
      </w:r>
    </w:p>
    <w:p>
      <w:pPr>
        <w:jc w:val="center"/>
      </w:pPr>
      <w:r>
        <w:rPr>
          <w:b w:val="1"/>
          <w:bCs w:val="1"/>
        </w:rPr>
        <w:t xml:space="preserve">Ը Ն Թ Ա Ց Ա Կ Ա Ր Գ</w:t>
      </w:r>
    </w:p>
    <w:p>
      <w:pPr/>
      <w:r>
        <w:rPr/>
        <w:t xml:space="preserve"> </w:t>
      </w:r>
    </w:p>
    <w:p>
      <w:pPr/>
      <w:r>
        <w:rPr>
          <w:b w:val="1"/>
          <w:bCs w:val="1"/>
        </w:rPr>
        <w:t xml:space="preserve">ԵԱՏՄ ԱՏԳ ԱԱ 2523 (ԲԱՑԱՌՈՒԹՅԱՄԲ ԱՏԳ ԱԱ 2523100000, 2523210000) ԱՊՐԱՆՔԱՅԻՆ ԴԻՐՔԻ ԾԱԾԿԱԳՐԵՐԻՆ ԴԱՍՎՈՂ ԱՊՐԱՆՔՆԵՐԻ «ԲԱՑԹՈՂՈՒՄ՝ ՆԵՐՔԻՆ ՍՊԱՌՄԱՆ ՀԱՄԱՐ», «ՎԵՐԱՄՇԱԿՈՒՄ՝ ՄԱՔՍԱՅԻՆ ՏԱՐԱԾՔՈՒՄ» ԵՎ «ՎԵՐԱՄՇԱԿՈՒՄ՝ ՆԵՐՔԻՆ ՍՊԱՌՄԱՆ ՀԱՄԱՐ» ՄԱՔՍԱՅԻՆ ԸՆԹԱՑԱԿԱՐԳԵՐՈՎ ՆԵՐՄՈՒԾՄԱՆ ԼԻՑԵՆԶԱՎՈՐՄԱՆ</w:t>
      </w:r>
    </w:p>
    <w:p>
      <w:pPr/>
      <w:r>
        <w:rPr/>
        <w:t xml:space="preserve"> </w:t>
      </w:r>
    </w:p>
    <w:p>
      <w:pPr>
        <w:numPr>
          <w:ilvl w:val="0"/>
          <w:numId w:val="4"/>
        </w:numPr>
      </w:pPr>
      <w:r>
        <w:rPr>
          <w:b w:val="1"/>
          <w:bCs w:val="1"/>
        </w:rPr>
        <w:t xml:space="preserve"> ԸՆԴՀԱՆՈՒՐ ԴՐՈՒՅԹՆԵՐ</w:t>
      </w:r>
    </w:p>
    <w:p>
      <w:pPr/>
      <w:r>
        <w:rPr/>
        <w:t xml:space="preserve"> </w:t>
      </w:r>
    </w:p>
    <w:p>
      <w:pPr>
        <w:numPr>
          <w:ilvl w:val="0"/>
          <w:numId w:val="5"/>
        </w:numPr>
      </w:pPr>
      <w:r>
        <w:rPr/>
        <w:t xml:space="preserve">ԵԱՏՄ ԱՏԳ ԱԱ 2523 (բացառությամբ ԱՏԳ ԱԱ 2523100000, 2523210000) ապրանքային դիրքի ծածկագրերին դասվող ապրանքների «Բացթողում՝ ներքին սպառման համար», «Վերամշակում՝ մաքսային տարածքում» և «Վերամշակում՝ ներքին սպառման համար» մաքսային ընթացակարգերով ներմուծման լիցենզավորման ընթացակարգով (այսուհետ` ընթացակարգ) կարգավորվում են սույն կետում նշված ապրանքների ներմուծման լիցենզավորման գործընթացի հետ կապված հարաբերությունները:</w:t>
      </w:r>
    </w:p>
    <w:p>
      <w:pPr/>
      <w:r>
        <w:rPr/>
        <w:t xml:space="preserve"> </w:t>
      </w:r>
    </w:p>
    <w:p>
      <w:pPr>
        <w:numPr>
          <w:ilvl w:val="0"/>
          <w:numId w:val="6"/>
        </w:numPr>
      </w:pPr>
      <w:r>
        <w:rPr>
          <w:b w:val="1"/>
          <w:bCs w:val="1"/>
        </w:rPr>
        <w:t xml:space="preserve"> ՀԻՄՆԱԿԱՆ ՀԱՍԿԱՑՈՒԹՅՈՒՆՆԵՐԸ</w:t>
      </w:r>
    </w:p>
    <w:p>
      <w:pPr/>
      <w:r>
        <w:rPr/>
        <w:t xml:space="preserve"> </w:t>
      </w:r>
    </w:p>
    <w:p>
      <w:pPr>
        <w:numPr>
          <w:ilvl w:val="0"/>
          <w:numId w:val="7"/>
        </w:numPr>
      </w:pPr>
      <w:r>
        <w:rPr/>
        <w:t xml:space="preserve">Սույն ընթացակարգում օգտագործվում են հետևյալ հասկացությունները՝</w:t>
      </w:r>
    </w:p>
    <w:p>
      <w:pPr/>
      <w:r>
        <w:rPr/>
        <w:t xml:space="preserve">1) լիցենզիա՝ արտաքին առևտրային գործունեության մասնակցին տրվող իրավունք լիցենզավորման ենթակա ցեմենտի ներմուծման համար, լիցենզիայով նախատեսված քանակով.</w:t>
      </w:r>
    </w:p>
    <w:p>
      <w:pPr/>
      <w:r>
        <w:rPr/>
        <w:t xml:space="preserve">2) ապրանք` ԵԱՏՄ ԱՏԳ ԱԱ 2523 (բացառությամբ ԱՏԳ ԱԱ 2523100000, 2523210000) ապրանքային դիրքի ծածկագրերին դասվող ապրանքներ.</w:t>
      </w:r>
    </w:p>
    <w:p>
      <w:pPr/>
      <w:r>
        <w:rPr/>
        <w:t xml:space="preserve">3) արտաքին տնտեսական գործունեության մասնակիցներ`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օրենքով սահմանված կարգով գրանցված կամ հաշվառված իրավաբանական անձինք կամ անհատ ձեռնարկատերեր.</w:t>
      </w:r>
    </w:p>
    <w:p>
      <w:pPr/>
      <w:r>
        <w:rPr/>
        <w:t xml:space="preserve">4) հայտատու` արտաքին տնտեսական գործունեության մասնակից կամ սույն որոշմամբ սահմանված դեպքերում` իրավաբանական անձ կամ անհատ ձեռնարկատեր, որը լիազոր մարմին է ներկայացնում փաստաթղթեր՝ լիցենզիայի ձևակերպման նպատակով:</w:t>
      </w:r>
    </w:p>
    <w:p>
      <w:pPr/>
      <w:r>
        <w:rPr/>
        <w:t xml:space="preserve"> </w:t>
      </w:r>
    </w:p>
    <w:p>
      <w:pPr>
        <w:numPr>
          <w:ilvl w:val="0"/>
          <w:numId w:val="8"/>
        </w:numPr>
      </w:pPr>
      <w:r>
        <w:rPr>
          <w:b w:val="1"/>
          <w:bCs w:val="1"/>
        </w:rPr>
        <w:t xml:space="preserve"> ՆԵՐՄՈՒԾՄԱՆ ԼԻՑԵՆԶԻԱ ՍՏԱՆԱԼՈՒ ՀԱՄԱՐ ԱՆՀՐԱԺԵՇՏ ՓԱՍՏԱԹՂԹԵՐԸ</w:t>
      </w:r>
    </w:p>
    <w:p>
      <w:pPr/>
      <w:r>
        <w:rPr/>
        <w:t xml:space="preserve"> </w:t>
      </w:r>
    </w:p>
    <w:p>
      <w:pPr>
        <w:numPr>
          <w:ilvl w:val="0"/>
          <w:numId w:val="9"/>
        </w:numPr>
      </w:pPr>
      <w:r>
        <w:rPr/>
        <w:t xml:space="preserve">Լիցենզիա ստանալու համար հայտատուն Հայաստանի Հանրապետության էկոնոմիկայի նախարարություն (այսուհետ՝ լիազոր մարմին) է ներկայացնում ուղեկցող գրություն` նշելով իրավաբանական անձի կամ անհատ ձեռնարկատիրոջ գտնվելու վայրը, պետական գրանցման կամ պետական հաշվառման համարը, ՀՎՀՀ-ն, էլ. փոստի հասցեն և հեռախոսահամարը, ինչպես նաև`</w:t>
      </w:r>
    </w:p>
    <w:p>
      <w:pPr/>
      <w:r>
        <w:rPr/>
        <w:t xml:space="preserve">1) հայտ` համաձայն N 1 ձևի.</w:t>
      </w:r>
    </w:p>
    <w:p>
      <w:pPr/>
      <w:r>
        <w:rPr/>
        <w:t xml:space="preserve">2) պետական տուրքի վճարման անդորրագրի պատճենը կամ պետական վճարումների էլեկտրոնային համակարգի կողմից գեներացված անդորրագիրը կամ անդորրագրի 20-նիշանոց ծածկագրի վերաբերյալ տեղեկատվություն:</w:t>
      </w:r>
    </w:p>
    <w:p>
      <w:pPr>
        <w:numPr>
          <w:ilvl w:val="0"/>
          <w:numId w:val="10"/>
        </w:numPr>
      </w:pPr>
      <w:r>
        <w:rPr/>
        <w:t xml:space="preserve">Լիցենզիա ստանալու համար անհրաժեշտ փաստաթղթերը լիազոր մարմին հայտատուի հայեցողությամբ կարող են ներկայացվել էլեկտրոնային եղանակով (էլեկտրոնային հասցեն` secretariat@mineconomy.am), ինչպես նաև փոստով կամ առձեռն։ Էլեկտրոնային եղանակով դիմելու դեպքում դիմումը և հայտն անհրաժեշտ է ներկայացնել Հայաստանի Հանրապետության օրենսդրությամբ սահմանված կարգով՝ էլեկտրոնային թվային ստորագրությամբ:</w:t>
      </w:r>
    </w:p>
    <w:p>
      <w:pPr>
        <w:numPr>
          <w:ilvl w:val="0"/>
          <w:numId w:val="10"/>
        </w:numPr>
      </w:pPr>
      <w:r>
        <w:rPr/>
        <w:t xml:space="preserve">Հայտատուի կողմից, սույն ընթացակարգով սահմանված պահանջներին համապատասխան, անհրաժեշտ փաստաթղթերը ներկայացվելու դեպքում, լիազոր մարմնի կողմից հայտի մուտքագրման օրվանից 3 աշխատանքային օրվա ընթացքում կարող է տրամադրվել կամ մերժվել լիցենզիայի տրամադրումը:</w:t>
      </w:r>
    </w:p>
    <w:p>
      <w:pPr>
        <w:numPr>
          <w:ilvl w:val="0"/>
          <w:numId w:val="10"/>
        </w:numPr>
      </w:pPr>
      <w:r>
        <w:rPr/>
        <w:t xml:space="preserve">Լիցենզիան տրամադրվում է յուրաքանչյուր մինչև հարյուր տոննայի համար՝ համաձայն N 2 ձևի:</w:t>
      </w:r>
    </w:p>
    <w:p>
      <w:pPr>
        <w:numPr>
          <w:ilvl w:val="0"/>
          <w:numId w:val="10"/>
        </w:numPr>
      </w:pPr>
      <w:r>
        <w:rPr/>
        <w:t xml:space="preserve">Հայտի և լիցենզիայի (NN 1 և 2 ձևեր) 5-րդ և 6-րդ տողերում կարող են նշվել մեկից ավելի երկրներ։</w:t>
      </w:r>
    </w:p>
    <w:p>
      <w:pPr>
        <w:numPr>
          <w:ilvl w:val="0"/>
          <w:numId w:val="10"/>
        </w:numPr>
      </w:pPr>
      <w:r>
        <w:rPr/>
        <w:t xml:space="preserve">Հայտատուի ներկայացրած փաստաթղթերը լիազոր մարմնում մուտքագրվելուց հետո, թերի լինելու դեպքում, 1 աշխատանքային օրվա ընթացքում դրա մասին էլեկտրոնային կամ կապի այլ միջոցներով տեղեկացվում է հայտատուին:</w:t>
      </w:r>
    </w:p>
    <w:p>
      <w:pPr>
        <w:numPr>
          <w:ilvl w:val="0"/>
          <w:numId w:val="10"/>
        </w:numPr>
      </w:pPr>
      <w:r>
        <w:rPr/>
        <w:t xml:space="preserve">Հայտատուն, հայտը և դրան կից ներկայացվող փաստաթղթերը թերի լինելու մասին տեղեկացում ստանալու դեպքում մինչև 2 աշխատանքային օրվա ընթացքում կարող է համալրել դրանք: Տվյալ դեպքում լիցենզիայի տրամադրման ժամկետը երկարաձգվում է ևս մինչև 2 աշխատանքային օրով։</w:t>
      </w:r>
    </w:p>
    <w:p>
      <w:pPr>
        <w:numPr>
          <w:ilvl w:val="0"/>
          <w:numId w:val="10"/>
        </w:numPr>
      </w:pPr>
      <w:r>
        <w:rPr/>
        <w:t xml:space="preserve">Լիցենզիա ստանալու մասին հայտը մերժվում է, եթե հայտը և դրան կից ներկայացվող փաստաթղթերը թերի են, և 2 աշխատանքային օրվա ընթացքում հայտատուն չի վերացնում հայտում կամ դրան կից փաստաթղթերում առկա թերությունները կամ չի ներկայացնում համալրված փաստաթղթերը:</w:t>
      </w:r>
    </w:p>
    <w:p>
      <w:pPr>
        <w:numPr>
          <w:ilvl w:val="0"/>
          <w:numId w:val="10"/>
        </w:numPr>
      </w:pPr>
      <w:r>
        <w:rPr/>
        <w:t xml:space="preserve">Լիցենզիայի գործողության ժամկետի ավարտ է համարվում սույն որոշման 4-րդ կետով սահմանված ժամկետի ավարտը:</w:t>
      </w:r>
    </w:p>
    <w:p>
      <w:pPr>
        <w:numPr>
          <w:ilvl w:val="0"/>
          <w:numId w:val="10"/>
        </w:numPr>
      </w:pPr>
      <w:r>
        <w:rPr/>
        <w:t xml:space="preserve">Այն դեպքում, երբ որպես իրավաբանական անձ գրանցված լիցենզավորված անձի հիմնադիր փաստաթղթերում կատարվել են փոփոխություններ (անվանման կամ գտնվելու վայրի փոփոխություն), կամ փոխվել են անհատ ձեռնարկատեր հանդիսացող ֆիզիկական անձ լիցենզավորված անձի անձնագրային տվյալները, լիցենզավորված անձը 3 աշխատանքային օրվա ընթացքում կարող է դիմել լիազոր մարմին՝ կցելով նաև նշված փոփոխությունները հավաստող փաստաթղթերը, տրամադրված լիցենզիայում փոփոխություն կատարելու նպատակով։</w:t>
      </w:r>
    </w:p>
    <w:p>
      <w:pPr>
        <w:numPr>
          <w:ilvl w:val="0"/>
          <w:numId w:val="10"/>
        </w:numPr>
      </w:pPr>
      <w:r>
        <w:rPr/>
        <w:t xml:space="preserve">Լիցենզիայի կորստի դեպքում լիազորված մարմինը, հայտատուի գրավոր դիմումի հիման վրա, տրամադրում է լիցենզիայի կրկնօրինակը, որը պարունակում է «Կրկնօրինակ» գրառումը։ Դիմումը, որով պարզաբանվում են լիցենզիայի կորստի պատճառները և հանգամանքները, շարադրվում է ազատ ձևով։</w:t>
      </w:r>
    </w:p>
    <w:p>
      <w:pPr>
        <w:numPr>
          <w:ilvl w:val="0"/>
          <w:numId w:val="10"/>
        </w:numPr>
      </w:pPr>
      <w:r>
        <w:rPr/>
        <w:t xml:space="preserve">Լիցենզիայի կրկնօրինակը լիազոր մարմնի կողմից տրամադրվում է դիմումը լիազոր մարմնում մուտքագրելու օրվանից հետո՝ 2 աշխատանքային օրվա ընթացքում։ Կրկնօրինակի տրամադրման համար պետական տուրք չի գանձվում։</w:t>
      </w:r>
    </w:p>
    <w:p>
      <w:pPr/>
      <w:r>
        <w:rPr/>
        <w:t xml:space="preserve"> </w:t>
      </w:r>
    </w:p>
    <w:p>
      <w:pPr/>
      <w:r>
        <w:rPr>
          <w:b w:val="1"/>
          <w:bCs w:val="1"/>
          <w:u w:val="single"/>
        </w:rPr>
        <w:t xml:space="preserve"> </w:t>
      </w:r>
    </w:p>
    <w:p>
      <w:pPr/>
      <w:r>
        <w:rPr>
          <w:b w:val="1"/>
          <w:bCs w:val="1"/>
          <w:u w:val="single"/>
        </w:rPr>
        <w:t xml:space="preserve"> </w:t>
      </w:r>
    </w:p>
    <w:p>
      <w:pPr/>
      <w:r>
        <w:rPr>
          <w:u w:val="single"/>
        </w:rPr>
        <w:t xml:space="preserve">Ձև N 1</w:t>
      </w:r>
    </w:p>
    <w:p>
      <w:pPr/>
      <w:r>
        <w:rPr/>
        <w:t xml:space="preserve"> </w:t>
      </w:r>
    </w:p>
    <w:p>
      <w:pPr/>
      <w:r>
        <w:rPr>
          <w:b w:val="1"/>
          <w:bCs w:val="1"/>
        </w:rPr>
        <w:t xml:space="preserve">Հ Ա Յ Տ</w:t>
      </w:r>
    </w:p>
    <w:p>
      <w:pPr/>
      <w:r>
        <w:rPr/>
        <w:t xml:space="preserve"> </w:t>
      </w:r>
    </w:p>
    <w:p>
      <w:pPr/>
      <w:r>
        <w:rPr>
          <w:b w:val="1"/>
          <w:bCs w:val="1"/>
        </w:rPr>
        <w:t xml:space="preserve">ԵԱՏՄ ԱՏԳ ԱԱ 2523 (ԲԱՑԱՌՈՒԹՅԱՄԲ 2523100000, 2523210000) ԱՊՐԱՆՔԱՅԻՆ ԴԻՐՔԻ ԾԱԾԿԱԳՐԻՆ ԴԱՍՎՈՂ ԱՊՐԱՆՔՆԵՐԻ «ԲԱՑԹՈՂՈՒՄ՝ ՆԵՐՔԻՆ ՍՊԱՌՄԱՆ ՀԱՄԱՐ», «ՎԵՐԱՄՇԱԿՈՒՄ՝ ՄԱՔՍԱՅԻՆ ՏԱՐԱԾՔՈՒՄ» ԵՎ «ՎԵՐԱՄՇԱԿՈՒՄ՝ ՆԵՐՔԻՆ ՍՊԱՌՄԱՆ ՀԱՄԱՐ» ՄԱՔՍԱՅԻՆ ԸՆԹԱՑԱԿԱՐԳԵՐՈՎ ՆԵՐՄՈՒԾՄԱՆ ԼԻՑԵՆԶԻԱ ՍՏԱՆԱԼՈՒ ՄԱՍԻՆ</w:t>
      </w:r>
    </w:p>
    <w:p>
      <w:pPr/>
      <w:r>
        <w:rPr/>
        <w:t xml:space="preserve"> </w:t>
      </w:r>
    </w:p>
    <w:tbl>
      <w:tblGrid>
        <w:gridCol w:w="4320" w:type="dxa"/>
        <w:gridCol w:w="5430" w:type="dxa"/>
      </w:tblGrid>
      <w:tblPr>
        <w:tblW w:w="0" w:type="dxa"/>
        <w:tblLayout w:type="autofit"/>
      </w:tblPr>
      <w:tr>
        <w:trPr/>
        <w:tc>
          <w:tcPr>
            <w:tcW w:w="4320" w:type="dxa"/>
            <w:noWrap/>
          </w:tcPr>
          <w:p>
            <w:pPr/>
            <w:r>
              <w:rPr/>
              <w:t xml:space="preserve">1. Հայտ N</w:t>
            </w:r>
          </w:p>
        </w:tc>
        <w:tc>
          <w:tcPr>
            <w:tcW w:w="5430" w:type="dxa"/>
            <w:noWrap/>
          </w:tcPr>
          <w:p>
            <w:pPr/>
            <w:r>
              <w:rPr/>
              <w:t xml:space="preserve">2. Գործողության ժամկետը</w:t>
            </w:r>
          </w:p>
        </w:tc>
      </w:tr>
      <w:tr>
        <w:trPr/>
        <w:tc>
          <w:tcPr>
            <w:tcW w:w="0" w:type="dxa"/>
            <w:noWrap/>
          </w:tcPr>
          <w:p>
            <w:pPr/>
            <w:r>
              <w:rPr/>
              <w:t xml:space="preserve">3. Լիցենզիայի տեսակը</w:t>
            </w:r>
          </w:p>
          <w:p>
            <w:pPr/>
            <w:r>
              <w:rPr/>
              <w:t xml:space="preserve">ՆԵՐՄՈՒԾՈՒՄ</w:t>
            </w:r>
          </w:p>
        </w:tc>
        <w:tc>
          <w:tcPr>
            <w:tcW w:w="0" w:type="dxa"/>
            <w:noWrap/>
          </w:tcPr>
          <w:p>
            <w:pPr/>
            <w:r>
              <w:rPr/>
              <w:t xml:space="preserve">4. Հայտատուն</w:t>
            </w:r>
          </w:p>
        </w:tc>
      </w:tr>
      <w:tr>
        <w:trPr/>
        <w:tc>
          <w:tcPr>
            <w:tcW w:w="0" w:type="dxa"/>
            <w:noWrap/>
          </w:tcPr>
          <w:p>
            <w:pPr/>
            <w:r>
              <w:rPr/>
              <w:t xml:space="preserve">5. Վաճառողի երկիրը</w:t>
            </w:r>
          </w:p>
        </w:tc>
        <w:tc>
          <w:tcPr>
            <w:tcW w:w="0" w:type="dxa"/>
            <w:noWrap/>
          </w:tcPr>
          <w:p>
            <w:pPr/>
            <w:r>
              <w:rPr/>
              <w:t xml:space="preserve">6. Ծագման երկիրը</w:t>
            </w:r>
          </w:p>
        </w:tc>
      </w:tr>
      <w:tr>
        <w:trPr/>
        <w:tc>
          <w:tcPr>
            <w:tcW w:w="0" w:type="dxa"/>
            <w:noWrap/>
          </w:tcPr>
          <w:p>
            <w:pPr/>
            <w:r>
              <w:rPr/>
              <w:t xml:space="preserve">7. Չափի միավորը՝ 100 տոննա</w:t>
            </w:r>
          </w:p>
        </w:tc>
        <w:tc>
          <w:tcPr>
            <w:tcW w:w="0" w:type="dxa"/>
            <w:noWrap/>
          </w:tcPr>
          <w:p>
            <w:pPr/>
            <w:r>
              <w:rPr/>
              <w:t xml:space="preserve">8. Ծավալը</w:t>
            </w:r>
          </w:p>
        </w:tc>
      </w:tr>
      <w:tr>
        <w:trPr/>
        <w:tc>
          <w:tcPr>
            <w:tcW w:w="0" w:type="dxa"/>
            <w:gridSpan w:val="2"/>
            <w:noWrap/>
          </w:tcPr>
          <w:p>
            <w:pPr/>
            <w:r>
              <w:rPr/>
              <w:t xml:space="preserve">9. Ապրանքի ծածկագիրը և նկարագրությունը` ըստ ԵԱՏՄ ԱՏԳ ԱԱ ծածկագրի</w:t>
            </w:r>
          </w:p>
        </w:tc>
      </w:tr>
      <w:tr>
        <w:trPr/>
        <w:tc>
          <w:tcPr>
            <w:tcW w:w="0" w:type="dxa"/>
            <w:gridSpan w:val="2"/>
            <w:noWrap/>
          </w:tcPr>
          <w:p>
            <w:pPr/>
            <w:r>
              <w:rPr/>
              <w:t xml:space="preserve">10. Լրացուցիչ տեղեկատվություն (անհրաժեշտության դեպքում)</w:t>
            </w:r>
          </w:p>
        </w:tc>
      </w:tr>
      <w:tr>
        <w:trPr/>
        <w:tc>
          <w:tcPr>
            <w:tcW w:w="0" w:type="dxa"/>
            <w:noWrap/>
          </w:tcPr>
          <w:p>
            <w:pPr/>
            <w:r>
              <w:rPr/>
              <w:t xml:space="preserve">11. Լիցենզիա տալու հիմքը</w:t>
            </w:r>
          </w:p>
        </w:tc>
        <w:tc>
          <w:tcPr>
            <w:tcW w:w="0" w:type="dxa"/>
            <w:noWrap/>
          </w:tcPr>
          <w:p>
            <w:pPr/>
            <w:r>
              <w:rPr/>
              <w:t xml:space="preserve">12. Հայտատուի լիազորված անձ</w:t>
            </w:r>
          </w:p>
          <w:p>
            <w:pPr/>
            <w:r>
              <w:rPr/>
              <w:t xml:space="preserve">Անունը, հայրանունը, ազգանունը</w:t>
            </w:r>
          </w:p>
          <w:p>
            <w:pPr/>
            <w:r>
              <w:rPr/>
              <w:t xml:space="preserve">Պաշտոնը</w:t>
            </w:r>
          </w:p>
          <w:p>
            <w:pPr/>
            <w:r>
              <w:rPr/>
              <w:t xml:space="preserve">Հեռախոսահամարը</w:t>
            </w:r>
          </w:p>
          <w:p>
            <w:pPr/>
            <w:r>
              <w:rPr/>
              <w:t xml:space="preserve">Ստորագրությունը</w:t>
            </w:r>
          </w:p>
          <w:p>
            <w:pPr/>
            <w:r>
              <w:rPr/>
              <w:t xml:space="preserve">__ _________ 202__ թ.</w:t>
            </w:r>
          </w:p>
        </w:tc>
      </w:tr>
    </w:tbl>
    <w:p>
      <w:pPr/>
      <w:r>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u w:val="single"/>
        </w:rPr>
        <w:t xml:space="preserve">Ձև N 2</w:t>
      </w:r>
    </w:p>
    <w:p>
      <w:pPr/>
      <w:r>
        <w:rPr/>
        <w:t xml:space="preserve"> </w:t>
      </w:r>
    </w:p>
    <w:p>
      <w:pPr/>
      <w:r>
        <w:rPr>
          <w:b w:val="1"/>
          <w:bCs w:val="1"/>
        </w:rPr>
        <w:t xml:space="preserve">Լ Ի Ց Ե Ն Զ Ի Ա</w:t>
      </w:r>
    </w:p>
    <w:p>
      <w:pPr/>
      <w:r>
        <w:rPr/>
        <w:t xml:space="preserve"> </w:t>
      </w:r>
    </w:p>
    <w:p>
      <w:pPr/>
      <w:r>
        <w:rPr>
          <w:b w:val="1"/>
          <w:bCs w:val="1"/>
        </w:rPr>
        <w:t xml:space="preserve">ԵԱՏՄ ԱՏԳ ԱԱ 2523 (ԲԱՑԱՌՈՒԹՅԱՄԲ 2523100000, 2523210000) ԱՊՐԱՆՔԱՅԻՆ ԴԻՐՔԻ ԾԱԾԿԱԳՐԻՆ ԴԱՍՎՈՂ ԱՊՐԱՆՔՆԵՐԻ «ԲԱՑԹՈՂՈՒՄ՝ ՆԵՐՔԻՆ ՍՊԱՌՄԱՆ ՀԱՄԱՐ», «ՎԵՐԱՄՇԱԿՈՒՄ՝ ՄԱՔՍԱՅԻՆ ՏԱՐԱԾՔՈՒՄ» ԵՎ «ՎԵՐԱՄՇԱԿՈՒՄ՝ ՆԵՐՔԻՆ ՍՊԱՌՄԱՆ ՀԱՄԱՐ» ՄԱՔՍԱՅԻՆ ԸՆԹԱՑԱԿԱՐԳԵՐՈՎ ՆԵՐՄՈՒԾՄԱՆ</w:t>
      </w:r>
    </w:p>
    <w:p>
      <w:pPr/>
      <w:r>
        <w:rPr/>
        <w:t xml:space="preserve"> </w:t>
      </w:r>
    </w:p>
    <w:tbl>
      <w:tblGrid>
        <w:gridCol w:w="0" w:type="dxa"/>
        <w:gridCol w:w="7890" w:type="dxa"/>
      </w:tblGrid>
      <w:tblPr>
        <w:tblW w:w="0" w:type="dxa"/>
        <w:tblLayout w:type="autofit"/>
      </w:tblPr>
      <w:tr>
        <w:trPr/>
        <w:tc>
          <w:tcPr>
            <w:tcW w:w="9750" w:type="dxa"/>
            <w:gridSpan w:val="2"/>
            <w:noWrap/>
          </w:tcPr>
          <w:p>
            <w:pPr/>
            <w:r>
              <w:rPr/>
              <w:t xml:space="preserve">Հայաստանի Հանրապետության էկոնոմիկայի նախարարություն</w:t>
            </w:r>
          </w:p>
        </w:tc>
      </w:tr>
      <w:tr>
        <w:trPr/>
        <w:tc>
          <w:tcPr>
            <w:tcW w:w="0" w:type="dxa"/>
            <w:noWrap/>
          </w:tcPr>
          <w:p>
            <w:pPr/>
            <w:r>
              <w:rPr/>
              <w:t xml:space="preserve">1. Լիցենզիա N</w:t>
            </w:r>
          </w:p>
        </w:tc>
        <w:tc>
          <w:tcPr>
            <w:tcW w:w="7890" w:type="dxa"/>
            <w:noWrap/>
          </w:tcPr>
          <w:p>
            <w:pPr/>
            <w:r>
              <w:rPr/>
              <w:t xml:space="preserve">2. Գործողության ժամկետը</w:t>
            </w:r>
          </w:p>
        </w:tc>
      </w:tr>
      <w:tr>
        <w:trPr/>
        <w:tc>
          <w:tcPr>
            <w:tcW w:w="0" w:type="dxa"/>
            <w:noWrap/>
          </w:tcPr>
          <w:p>
            <w:pPr/>
            <w:r>
              <w:rPr/>
              <w:t xml:space="preserve">3. Լիցենզիայի տեսակը</w:t>
            </w:r>
          </w:p>
          <w:p>
            <w:pPr/>
            <w:r>
              <w:rPr/>
              <w:t xml:space="preserve">ՆԵՐՄՈՒԾՈՒՄ</w:t>
            </w:r>
          </w:p>
        </w:tc>
        <w:tc>
          <w:tcPr>
            <w:tcW w:w="0" w:type="dxa"/>
            <w:noWrap/>
          </w:tcPr>
          <w:p>
            <w:pPr/>
            <w:r>
              <w:rPr/>
              <w:t xml:space="preserve">4. Հայտատուն</w:t>
            </w:r>
          </w:p>
        </w:tc>
      </w:tr>
      <w:tr>
        <w:trPr/>
        <w:tc>
          <w:tcPr>
            <w:tcW w:w="0" w:type="dxa"/>
            <w:noWrap/>
          </w:tcPr>
          <w:p>
            <w:pPr/>
            <w:r>
              <w:rPr/>
              <w:t xml:space="preserve">5. Վաճառողի երկիրը</w:t>
            </w:r>
          </w:p>
        </w:tc>
        <w:tc>
          <w:tcPr>
            <w:tcW w:w="0" w:type="dxa"/>
            <w:noWrap/>
          </w:tcPr>
          <w:p>
            <w:pPr/>
            <w:r>
              <w:rPr/>
              <w:t xml:space="preserve">6. Ծագման երկիրը</w:t>
            </w:r>
          </w:p>
        </w:tc>
      </w:tr>
      <w:tr>
        <w:trPr/>
        <w:tc>
          <w:tcPr>
            <w:tcW w:w="0" w:type="dxa"/>
            <w:noWrap/>
          </w:tcPr>
          <w:p>
            <w:pPr/>
            <w:r>
              <w:rPr/>
              <w:t xml:space="preserve">7. Չափի միավորը՝ 100 տոննա</w:t>
            </w:r>
          </w:p>
        </w:tc>
        <w:tc>
          <w:tcPr>
            <w:tcW w:w="0" w:type="dxa"/>
            <w:noWrap/>
          </w:tcPr>
          <w:p>
            <w:pPr/>
            <w:r>
              <w:rPr/>
              <w:t xml:space="preserve">8. Ծավալը</w:t>
            </w:r>
          </w:p>
        </w:tc>
      </w:tr>
      <w:tr>
        <w:trPr/>
        <w:tc>
          <w:tcPr>
            <w:tcW w:w="0" w:type="dxa"/>
            <w:gridSpan w:val="2"/>
            <w:noWrap/>
          </w:tcPr>
          <w:p>
            <w:pPr/>
            <w:r>
              <w:rPr/>
              <w:t xml:space="preserve">9. Ապրանքի ծածկագիրը և նկարագրությունը` ըստ ԵԱՏՄ ԱՏԳ ԱԱ-ի</w:t>
            </w:r>
          </w:p>
        </w:tc>
      </w:tr>
      <w:tr>
        <w:trPr/>
        <w:tc>
          <w:tcPr>
            <w:tcW w:w="0" w:type="dxa"/>
            <w:gridSpan w:val="2"/>
            <w:noWrap/>
          </w:tcPr>
          <w:p>
            <w:pPr/>
            <w:r>
              <w:rPr/>
              <w:t xml:space="preserve">10. Լրացուցիչ տեղեկատվություն</w:t>
            </w:r>
          </w:p>
        </w:tc>
      </w:tr>
      <w:tr>
        <w:trPr/>
        <w:tc>
          <w:tcPr>
            <w:tcW w:w="0" w:type="dxa"/>
            <w:noWrap/>
          </w:tcPr>
          <w:p>
            <w:pPr/>
            <w:r>
              <w:rPr/>
              <w:t xml:space="preserve">11. Լիցենզիան տալու հիմքը</w:t>
            </w:r>
          </w:p>
        </w:tc>
        <w:tc>
          <w:tcPr>
            <w:tcW w:w="0" w:type="dxa"/>
            <w:noWrap/>
          </w:tcPr>
          <w:p>
            <w:pPr/>
            <w:r>
              <w:rPr/>
              <w:t xml:space="preserve">12. Լիազորված անձ</w:t>
            </w:r>
          </w:p>
          <w:p>
            <w:pPr/>
            <w:r>
              <w:rPr/>
              <w:t xml:space="preserve">Անունը, հայրանունը, ազգանունը</w:t>
            </w:r>
          </w:p>
          <w:p>
            <w:pPr/>
            <w:r>
              <w:rPr/>
              <w:t xml:space="preserve">Պաշտոնը</w:t>
            </w:r>
          </w:p>
          <w:p>
            <w:pPr/>
            <w:r>
              <w:rPr/>
              <w:t xml:space="preserve">Ստորագրությունը և կնիքը</w:t>
            </w:r>
          </w:p>
          <w:p>
            <w:pPr/>
            <w:r>
              <w:rPr/>
              <w:t xml:space="preserve">__ _________ 202__ թ.</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752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F0807A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822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A7F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CB74F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B277D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DDF8F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B847E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BAEE1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2026-04-01T02:36:57+04:00</dcterms:created>
  <dcterms:modified xsi:type="dcterms:W3CDTF">2026-04-01T02:36:57+04:00</dcterms:modified>
</cp:coreProperties>
</file>

<file path=docProps/custom.xml><?xml version="1.0" encoding="utf-8"?>
<Properties xmlns="http://schemas.openxmlformats.org/officeDocument/2006/custom-properties" xmlns:vt="http://schemas.openxmlformats.org/officeDocument/2006/docPropsVTypes"/>
</file>