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ԱՐԱԳԱԾՈՏՆԻ ՄԱՐԶԻ ԹԱԼԻՆ ՀԱՄԱՅՆՔԻ 2023 ԹՎԱԿԱՆԻ ՏԱՐԵԿԱՆ ԲՅՈւՋԵՆ ՀԱՍՏԱՏԵԼՈւ  ՄԱՍԻՆ</w:t>
      </w:r>
      <w:bookmarkEnd w:id="0"/>
    </w:p>
    <w:p>
      <w:pPr/>
      <w:r>
        <w:rPr/>
        <w:t xml:space="preserve">Թալին համայնքի ավագանին որոշում է՝</w:t>
      </w:r>
    </w:p>
    <w:p>
      <w:pPr/>
      <w:r>
        <w:rPr/>
        <w:t xml:space="preserve"> 1.Հաստատել Թալին համայնքի 2023թ.-ի տարեկան բյուջեն՝</w:t>
      </w:r>
    </w:p>
    <w:p>
      <w:pPr/>
      <w:r>
        <w:rPr/>
        <w:t xml:space="preserve">Եկամուտների մասով        1335049.9 (հազ,դրամ)/վարչական բյուջե/</w:t>
      </w:r>
    </w:p>
    <w:p>
      <w:pPr/>
      <w:r>
        <w:rPr/>
        <w:t xml:space="preserve">Եկամուտների մասով         835406.4  (հազ,դրամ)/ֆոնդային բյուջե</w:t>
      </w:r>
    </w:p>
    <w:p>
      <w:pPr/>
      <w:r>
        <w:rPr/>
        <w:t xml:space="preserve">Պահուստային ֆոնդ           150.000.0 (հազար դրամ)</w:t>
      </w:r>
    </w:p>
    <w:p>
      <w:pPr/>
      <w:r>
        <w:rPr/>
        <w:t xml:space="preserve"> Ծախսերի մասով              1335049.9 (հազ,դրամ) /վարչական բյուջե /  </w:t>
      </w:r>
    </w:p>
    <w:p>
      <w:pPr/>
      <w:r>
        <w:rPr/>
        <w:t xml:space="preserve"> Ծախսերի մասով              1015406.4 (հազ,դրամ)    /ֆոնդային բյուջե/</w:t>
      </w:r>
    </w:p>
    <w:p>
      <w:pPr/>
      <w:r>
        <w:rPr/>
        <w:t xml:space="preserve">Պակասուրդ                       180.000    (հազ,դրամ)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>
      <w:pPr/>
      <w:r>
        <w:rPr/>
        <w:t xml:space="preserve">                                                                            </w:t>
      </w:r>
    </w:p>
    <w:p>
      <w:pPr/>
      <w:r>
        <w:rPr/>
        <w:t xml:space="preserve">2.Հաստատել Թալին համայնքի 2023թ.-ի տարեկան բյուջեն համաձայն կից հավելվածի։</w:t>
      </w:r>
    </w:p>
    <w:p>
      <w:pPr/>
      <w:r>
        <w:rPr/>
        <w:t xml:space="preserve">3.Հաստատել համայնքի բյուջեի եկամուտները ըստ եկամտատեսակների համաձայն հատված 1-ի։</w:t>
      </w:r>
    </w:p>
    <w:p>
      <w:pPr/>
      <w:r>
        <w:rPr/>
        <w:t xml:space="preserve">4.Հաստատել համայնքի բյուջեի ծախսերն ըստ գործառնական դասակարգման, համաձայն հատված 2-ի։</w:t>
      </w:r>
    </w:p>
    <w:p>
      <w:pPr/>
      <w:r>
        <w:rPr/>
        <w:t xml:space="preserve">5.Հաստատել համայնքի բյուջեի ծախսերն ըստ տնտեսագիտական դասակարգման համաձայն հատված 3-ի։</w:t>
      </w:r>
    </w:p>
    <w:p>
      <w:pPr/>
      <w:r>
        <w:rPr/>
        <w:t xml:space="preserve">6.Հաստատել համայնքի բյուջեի հավելուրդը կամ դեֆիցիտը համաձայն հատված 4-ի։</w:t>
      </w:r>
    </w:p>
    <w:p>
      <w:pPr/>
      <w:r>
        <w:rPr/>
        <w:t xml:space="preserve">7.Հաստատել համայնքի բյուջեի հավելուրդի օգտագործման ուղղությունները կամ դեֆիցիտի ֆինանսավորման աղբյուրները՝ համաձայն հատված 5-ի։</w:t>
      </w:r>
    </w:p>
    <w:p>
      <w:pPr/>
      <w:r>
        <w:rPr/>
        <w:t xml:space="preserve">8.Հաստատել համայնքի բյուջի ծախսերը ըստ բյուջետային ծախսերի գործառնական և տնտեսագիտական դասակարգման համաձայն ՝ հատված 6-ի։</w:t>
      </w:r>
    </w:p>
    <w:p>
      <w:pPr/>
      <w:r>
        <w:rPr/>
        <w:t xml:space="preserve">9.Ծախսերի ֆինանսավորումը կատարել ստացված փաստացի մուտքերի սահմաններում, պահպանելով ծախսերի համամասնությունները։</w:t>
      </w:r>
    </w:p>
    <w:p>
      <w:pPr/>
      <w:r>
        <w:rPr/>
        <w:t xml:space="preserve">10.«Բյուջետային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44FFD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2026-03-31T20:42:15+04:00</dcterms:created>
  <dcterms:modified xsi:type="dcterms:W3CDTF">2026-03-31T20:42:15+04:00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