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«Պետական տուրքի մասին» ՀՀ օրենքում փոփոխություններ եվ լրացումներ կատարելու մասին» ՀՀ օրենքի նախագիծը, «Գործունեության իրականացման ծանուցման մասին» ՀՀ օրենքում փոփոխություններ կատարելու մասին ՀՀ օրենքի նախագիծը, «Առեվտրի եվ ծառայությունների մասին» ՀՀ օրենքում փոփոխություններ կատարելու մասին ՀՀ օրենքի նախագիծը, «Վարչական իրավախախտումների վերաբերյալ ՀՀ օրենսգրքում փոփոխություն կատարելու մասին» ՀՀ օրենքի նախագիծը</w:t>
      </w:r>
      <w:bookmarkEnd w:id="0"/>
    </w:p>
    <w:p>
      <w:pPr>
        <w:jc w:val="end"/>
      </w:pPr>
      <w:r>
        <w:rPr/>
        <w:t xml:space="preserve">ՆԱԽԱԳԻԾ</w:t>
      </w:r>
    </w:p>
    <w:p>
      <w:pPr/>
      <w:r>
        <w:rPr/>
        <w:t xml:space="preserve"> </w:t>
      </w:r>
    </w:p>
    <w:p>
      <w:pPr>
        <w:jc w:val="center"/>
      </w:pPr>
      <w:r>
        <w:rPr/>
        <w:t xml:space="preserve">ՀԱՅԱUՏԱՆԻ ՀԱՆՐԱՊԵՏՈՒԹՅԱՆ</w:t>
      </w:r>
    </w:p>
    <w:p>
      <w:pPr>
        <w:jc w:val="center"/>
      </w:pPr>
      <w:r>
        <w:rPr/>
        <w:t xml:space="preserve">OՐԵՆՔԸ</w:t>
      </w:r>
    </w:p>
    <w:p>
      <w:pPr/>
      <w:r>
        <w:rPr/>
        <w:t xml:space="preserve"> </w:t>
      </w:r>
    </w:p>
    <w:p>
      <w:pPr>
        <w:jc w:val="center"/>
      </w:pPr>
      <w:r>
        <w:rPr>
          <w:b w:val="1"/>
          <w:bCs w:val="1"/>
        </w:rPr>
        <w:t xml:space="preserve">«</w:t>
      </w:r>
      <w:r>
        <w:rPr>
          <w:b w:val="1"/>
          <w:bCs w:val="1"/>
        </w:rPr>
        <w:t xml:space="preserve">ԳՈՐԾՈՒՆԵՈՒԹՅԱՆ</w:t>
      </w:r>
      <w:r>
        <w:rPr/>
        <w:t xml:space="preserve"> </w:t>
      </w:r>
      <w:r>
        <w:rPr>
          <w:b w:val="1"/>
          <w:bCs w:val="1"/>
        </w:rPr>
        <w:t xml:space="preserve">ԻՐԱԿԱՆԱՑՄԱՆ</w:t>
      </w:r>
      <w:r>
        <w:rPr/>
        <w:t xml:space="preserve"> </w:t>
      </w:r>
      <w:r>
        <w:rPr>
          <w:b w:val="1"/>
          <w:bCs w:val="1"/>
        </w:rPr>
        <w:t xml:space="preserve">ԾԱՆՈՒՑՄԱՆ</w:t>
      </w:r>
      <w:r>
        <w:rPr/>
        <w:t xml:space="preserve"> </w:t>
      </w:r>
      <w:r>
        <w:rPr>
          <w:b w:val="1"/>
          <w:bCs w:val="1"/>
        </w:rPr>
        <w:t xml:space="preserve">ՄԱՍԻՆ</w:t>
      </w:r>
      <w:r>
        <w:rPr>
          <w:b w:val="1"/>
          <w:bCs w:val="1"/>
        </w:rPr>
        <w:t xml:space="preserve">» </w:t>
      </w: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ՕՐԵՆՔՈՒՄ</w:t>
      </w:r>
      <w:r>
        <w:rPr/>
        <w:t xml:space="preserve"> </w:t>
      </w:r>
      <w:r>
        <w:rPr>
          <w:b w:val="1"/>
          <w:bCs w:val="1"/>
        </w:rPr>
        <w:t xml:space="preserve">ՓՈՓՈԽՈՒԹՅՈՒՆ</w:t>
      </w:r>
      <w:r>
        <w:rPr>
          <w:b w:val="1"/>
          <w:bCs w:val="1"/>
        </w:rPr>
        <w:t xml:space="preserve">ՆԵՐ ԿԱՏԱՐԵԼՈՒ</w:t>
      </w:r>
      <w:r>
        <w:rPr/>
        <w:t xml:space="preserve"> </w:t>
      </w:r>
      <w:r>
        <w:rPr>
          <w:b w:val="1"/>
          <w:bCs w:val="1"/>
        </w:rPr>
        <w:t xml:space="preserve">ՄԱՍԻՆ</w:t>
      </w:r>
    </w:p>
    <w:p>
      <w:pPr/>
      <w:r>
        <w:rPr/>
        <w:t xml:space="preserve"> </w:t>
      </w:r>
    </w:p>
    <w:p>
      <w:pPr/>
      <w:r>
        <w:rPr>
          <w:b w:val="1"/>
          <w:bCs w:val="1"/>
        </w:rPr>
        <w:t xml:space="preserve">    Հոդված</w:t>
      </w:r>
      <w:r>
        <w:rPr>
          <w:b w:val="1"/>
          <w:bCs w:val="1"/>
        </w:rPr>
        <w:t xml:space="preserve"> 1.</w:t>
      </w:r>
      <w:r>
        <w:rPr>
          <w:b w:val="1"/>
          <w:bCs w:val="1"/>
        </w:rPr>
        <w:t xml:space="preserve"> </w:t>
      </w:r>
      <w:r>
        <w:rPr/>
        <w:t xml:space="preserve">«Գործունեության իրականացման ծանուցման մասին» 2015 թվականի նոյեմբերի 13-ի ՀO-120-Ն օրենքի (այuուհետ` Օրենք) 22-րդ հոդվածի 2-րդ մասի ծանուցման ենթակա գործունեության տեսակների աղյուսակում՝</w:t>
      </w:r>
    </w:p>
    <w:p>
      <w:pPr>
        <w:numPr>
          <w:ilvl w:val="0"/>
          <w:numId w:val="2"/>
        </w:numPr>
      </w:pPr>
      <w:r>
        <w:rPr/>
        <w:t xml:space="preserve">ուժը կորցրած ճանաչել «2. ԳՅՈՒՂԱՏՆՏԵՍՈՒԹՅԱՆ ԲՆԱԳԱՎԱՌ» բաժինը,</w:t>
      </w:r>
    </w:p>
    <w:p>
      <w:pPr>
        <w:numPr>
          <w:ilvl w:val="0"/>
          <w:numId w:val="2"/>
        </w:numPr>
      </w:pPr>
      <w:r>
        <w:rPr/>
        <w:t xml:space="preserve">«4. ԳՈՐԾՈՒՆԵՈՒԹՅԱՆ ԱՅԼ ԲՆԱԳԱՎԱՌՆԵՐ» բաժնի՝</w:t>
      </w:r>
    </w:p>
    <w:p>
      <w:pPr>
        <w:numPr>
          <w:ilvl w:val="0"/>
          <w:numId w:val="3"/>
        </w:numPr>
      </w:pPr>
      <w:r>
        <w:rPr/>
        <w:t xml:space="preserve">2-րդ, 4-րդ, 5-րդ և 7-րդ կետերն ուժը կորցրած ճանաչել,</w:t>
      </w:r>
    </w:p>
    <w:p>
      <w:pPr>
        <w:numPr>
          <w:ilvl w:val="0"/>
          <w:numId w:val="3"/>
        </w:numPr>
      </w:pPr>
      <w:r>
        <w:rPr/>
        <w:t xml:space="preserve">1-ին, 1.1-ին, 1.2-րդ, 3-րդ, 3-րդ, 3.1-ին, 8.1-ին և 8.2-րդ կետերը շարադրել հետևյալ խմբագրությամբ`</w:t>
      </w:r>
    </w:p>
    <w:tbl>
      <w:tblGrid>
        <w:gridCol w:w="345" w:type="dxa"/>
        <w:gridCol w:w="720" w:type="dxa"/>
        <w:gridCol w:w="6015" w:type="dxa"/>
        <w:gridCol w:w="600" w:type="dxa"/>
        <w:gridCol w:w="450" w:type="dxa"/>
        <w:gridCol w:w="1860" w:type="dxa"/>
        <w:gridCol w:w="450" w:type="dxa"/>
      </w:tblGrid>
      <w:tblPr>
        <w:tblW w:w="10425" w:type="dxa"/>
        <w:tblLayout w:type="autofit"/>
      </w:tblPr>
      <w:tr>
        <w:trPr/>
        <w:tc>
          <w:tcPr>
            <w:tcW w:w="345" w:type="dxa"/>
            <w:noWrap/>
          </w:tcPr>
          <w:p>
            <w:pPr/>
            <w:r>
              <w:rPr/>
              <w:t xml:space="preserve"> «</w:t>
            </w:r>
          </w:p>
        </w:tc>
        <w:tc>
          <w:tcPr>
            <w:tcW w:w="720" w:type="dxa"/>
            <w:noWrap/>
          </w:tcPr>
          <w:p>
            <w:pPr/>
            <w:r>
              <w:rPr/>
              <w:t xml:space="preserve">1.</w:t>
            </w:r>
          </w:p>
        </w:tc>
        <w:tc>
          <w:tcPr>
            <w:tcW w:w="6015" w:type="dxa"/>
            <w:noWrap/>
          </w:tcPr>
          <w:p>
            <w:pPr/>
            <w:r>
              <w:rPr/>
              <w:t xml:space="preserve">  «Արտաքին տնտեսական գործունեության ապրանքային անվանացանկ» (ԱՏԳ ԱԱ) դասակարգչի 2207 ծածկագրին դասվող էթիլային սպիրտի և 2208 ծածկագրին (բացառությամբ սույն աղյուսակի 1.1-ին, 1.2-րդ, 1.3-րդ, 1.4-րդ, 3-րդ, 3.1-ին կետերում նշված գործունեության տեսակների և  մինչև 22 տոկոս սպիրտ պարունակող այլ սպիրտային խմիչքների արտադրության) դասվող ապրանքների արտադրություն</w:t>
            </w:r>
          </w:p>
        </w:tc>
        <w:tc>
          <w:tcPr>
            <w:tcW w:w="600" w:type="dxa"/>
            <w:noWrap/>
          </w:tcPr>
          <w:p>
            <w:pPr/>
            <w:r>
              <w:rPr/>
              <w:t xml:space="preserve">ԿՄ</w:t>
            </w:r>
          </w:p>
        </w:tc>
        <w:tc>
          <w:tcPr>
            <w:tcW w:w="450" w:type="dxa"/>
            <w:noWrap/>
          </w:tcPr>
          <w:p>
            <w:pPr/>
            <w:r>
              <w:rPr/>
              <w:t xml:space="preserve">Ա</w:t>
            </w:r>
          </w:p>
        </w:tc>
        <w:tc>
          <w:tcPr>
            <w:tcW w:w="1860" w:type="dxa"/>
            <w:noWrap/>
          </w:tcPr>
          <w:p>
            <w:pPr/>
            <w:r>
              <w:rPr/>
              <w:t xml:space="preserve">Վ</w:t>
            </w:r>
          </w:p>
        </w:tc>
        <w:tc>
          <w:tcPr>
            <w:tcW w:w="450" w:type="dxa"/>
            <w:noWrap/>
          </w:tcPr>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tc>
      </w:tr>
      <w:tr>
        <w:trPr/>
        <w:tc>
          <w:tcPr>
            <w:tcW w:w="345" w:type="dxa"/>
            <w:noWrap/>
          </w:tcPr>
          <w:p>
            <w:pPr/>
            <w:r>
              <w:rPr/>
              <w:t xml:space="preserve"> </w:t>
            </w:r>
          </w:p>
        </w:tc>
        <w:tc>
          <w:tcPr>
            <w:tcW w:w="720" w:type="dxa"/>
            <w:noWrap/>
          </w:tcPr>
          <w:p>
            <w:pPr/>
            <w:r>
              <w:rPr/>
              <w:t xml:space="preserve">1.1․</w:t>
            </w:r>
          </w:p>
        </w:tc>
        <w:tc>
          <w:tcPr>
            <w:tcW w:w="6015" w:type="dxa"/>
            <w:noWrap/>
          </w:tcPr>
          <w:p>
            <w:pPr/>
            <w:r>
              <w:rPr/>
              <w:t xml:space="preserve">«Արտաքին տնտեսական գործունեության ապրանքային անվանացանկ» (ԱՏԳ ԱԱ) դասակարգչի 220820 ծածկագրին դասվող կոնյակի և բրենդիի արտադրություն և ԱՏԳ ԱԱ դասակարգչի 220820890 ծածկագրին դասվող կոնյակի և բրենդիի սպիրտների արտադրություն և մինչև 100 հազար լիտր (100-տոկոսանոց սպիրտի հաշվարկով) իրացում</w:t>
            </w:r>
          </w:p>
        </w:tc>
        <w:tc>
          <w:tcPr>
            <w:tcW w:w="600" w:type="dxa"/>
            <w:noWrap/>
          </w:tcPr>
          <w:p>
            <w:pPr/>
            <w:r>
              <w:rPr/>
              <w:t xml:space="preserve">ԿՄ</w:t>
            </w:r>
          </w:p>
        </w:tc>
        <w:tc>
          <w:tcPr>
            <w:tcW w:w="450" w:type="dxa"/>
            <w:noWrap/>
          </w:tcPr>
          <w:p>
            <w:pPr/>
            <w:r>
              <w:rPr/>
              <w:t xml:space="preserve">Ա</w:t>
            </w:r>
          </w:p>
        </w:tc>
        <w:tc>
          <w:tcPr>
            <w:tcW w:w="1860" w:type="dxa"/>
            <w:noWrap/>
          </w:tcPr>
          <w:p>
            <w:pPr/>
            <w:r>
              <w:rPr/>
              <w:t xml:space="preserve">Վ (միայն արտադրության մասով)</w:t>
            </w:r>
          </w:p>
        </w:tc>
        <w:tc>
          <w:tcPr>
            <w:tcW w:w="450" w:type="dxa"/>
            <w:noWrap/>
          </w:tcPr>
          <w:p>
            <w:pPr/>
            <w:r>
              <w:rPr/>
              <w:t xml:space="preserve"> </w:t>
            </w:r>
          </w:p>
        </w:tc>
      </w:tr>
      <w:tr>
        <w:trPr/>
        <w:tc>
          <w:tcPr>
            <w:tcW w:w="345" w:type="dxa"/>
            <w:noWrap/>
          </w:tcPr>
          <w:p>
            <w:pPr/>
            <w:r>
              <w:rPr/>
              <w:t xml:space="preserve"> </w:t>
            </w:r>
          </w:p>
        </w:tc>
        <w:tc>
          <w:tcPr>
            <w:tcW w:w="720" w:type="dxa"/>
            <w:noWrap/>
          </w:tcPr>
          <w:p>
            <w:pPr/>
            <w:r>
              <w:rPr/>
              <w:t xml:space="preserve">1.2.</w:t>
            </w:r>
          </w:p>
        </w:tc>
        <w:tc>
          <w:tcPr>
            <w:tcW w:w="6015" w:type="dxa"/>
            <w:noWrap/>
          </w:tcPr>
          <w:p>
            <w:pPr/>
            <w:r>
              <w:rPr/>
              <w:t xml:space="preserve">«Արտաքին տնտեսական գործունեության ապրանքային անվանացանկ» (ԱՏԳ ԱԱ) դասակարգչի 220820890 ծածկագրին դասվող կոնյակի և բրենդիի սպիրտներ արտադրողների կողմից 100 հազար լիտրը (100-տոկոսանոց սպիրտի հաշվարկով) իրացնելուց հետո այլ խմբաքանակների իրացում</w:t>
            </w:r>
          </w:p>
        </w:tc>
        <w:tc>
          <w:tcPr>
            <w:tcW w:w="600" w:type="dxa"/>
            <w:noWrap/>
          </w:tcPr>
          <w:p>
            <w:pPr/>
            <w:r>
              <w:rPr/>
              <w:t xml:space="preserve">ԿՄ</w:t>
            </w:r>
          </w:p>
        </w:tc>
        <w:tc>
          <w:tcPr>
            <w:tcW w:w="450" w:type="dxa"/>
            <w:noWrap/>
          </w:tcPr>
          <w:p>
            <w:pPr/>
            <w:r>
              <w:rPr/>
              <w:t xml:space="preserve">Ա</w:t>
            </w:r>
          </w:p>
        </w:tc>
        <w:tc>
          <w:tcPr>
            <w:tcW w:w="1860" w:type="dxa"/>
            <w:noWrap/>
          </w:tcPr>
          <w:p>
            <w:pPr/>
            <w:r>
              <w:rPr/>
              <w:t xml:space="preserve">    </w:t>
            </w:r>
          </w:p>
        </w:tc>
        <w:tc>
          <w:tcPr>
            <w:tcW w:w="450" w:type="dxa"/>
            <w:noWrap/>
          </w:tcPr>
          <w:p>
            <w:pPr/>
            <w:r>
              <w:rPr/>
              <w:t xml:space="preserve"> </w:t>
            </w:r>
          </w:p>
        </w:tc>
      </w:tr>
      <w:tr>
        <w:trPr/>
        <w:tc>
          <w:tcPr>
            <w:tcW w:w="345" w:type="dxa"/>
            <w:noWrap/>
          </w:tcPr>
          <w:p>
            <w:pPr/>
            <w:r>
              <w:rPr/>
              <w:t xml:space="preserve"> </w:t>
            </w:r>
          </w:p>
        </w:tc>
        <w:tc>
          <w:tcPr>
            <w:tcW w:w="720" w:type="dxa"/>
            <w:noWrap/>
          </w:tcPr>
          <w:p>
            <w:pPr/>
            <w:r>
              <w:rPr/>
              <w:t xml:space="preserve">1.3.</w:t>
            </w:r>
          </w:p>
        </w:tc>
        <w:tc>
          <w:tcPr>
            <w:tcW w:w="6015" w:type="dxa"/>
            <w:noWrap/>
          </w:tcPr>
          <w:p>
            <w:pPr/>
            <w:r>
              <w:rPr/>
              <w:t xml:space="preserve">«Արտաքին տնտեսական գործունեության ապրանքային անվանացանկ» (ԱՏԳ ԱԱ) դասակարգչի 220820 ծածկագրին դասվող կոնյակի, բրենդիի, կոնյակի և բրենդիի սպիրտների արտադրություն՝ առանց իրացման իրավունքի</w:t>
            </w:r>
          </w:p>
        </w:tc>
        <w:tc>
          <w:tcPr>
            <w:tcW w:w="600" w:type="dxa"/>
            <w:noWrap/>
          </w:tcPr>
          <w:p>
            <w:pPr/>
            <w:r>
              <w:rPr/>
              <w:t xml:space="preserve"> ԿՄ</w:t>
            </w:r>
          </w:p>
        </w:tc>
        <w:tc>
          <w:tcPr>
            <w:tcW w:w="450" w:type="dxa"/>
            <w:noWrap/>
          </w:tcPr>
          <w:p>
            <w:pPr/>
            <w:r>
              <w:rPr/>
              <w:t xml:space="preserve">Ա</w:t>
            </w:r>
          </w:p>
        </w:tc>
        <w:tc>
          <w:tcPr>
            <w:tcW w:w="1860" w:type="dxa"/>
            <w:noWrap/>
          </w:tcPr>
          <w:p>
            <w:pPr/>
            <w:r>
              <w:rPr/>
              <w:t xml:space="preserve">Վ</w:t>
            </w:r>
          </w:p>
        </w:tc>
        <w:tc>
          <w:tcPr>
            <w:tcW w:w="450" w:type="dxa"/>
            <w:noWrap/>
          </w:tcPr>
          <w:p>
            <w:pPr/>
            <w:r>
              <w:rPr/>
              <w:t xml:space="preserve"> </w:t>
            </w:r>
          </w:p>
        </w:tc>
      </w:tr>
      <w:tr>
        <w:trPr/>
        <w:tc>
          <w:tcPr>
            <w:tcW w:w="345" w:type="dxa"/>
            <w:noWrap/>
          </w:tcPr>
          <w:p>
            <w:pPr/>
            <w:r>
              <w:rPr/>
              <w:t xml:space="preserve"> </w:t>
            </w:r>
          </w:p>
        </w:tc>
        <w:tc>
          <w:tcPr>
            <w:tcW w:w="720" w:type="dxa"/>
            <w:noWrap/>
          </w:tcPr>
          <w:p>
            <w:pPr/>
            <w:r>
              <w:rPr/>
              <w:t xml:space="preserve">3.</w:t>
            </w:r>
          </w:p>
        </w:tc>
        <w:tc>
          <w:tcPr>
            <w:tcW w:w="6015" w:type="dxa"/>
            <w:noWrap/>
          </w:tcPr>
          <w:p>
            <w:pPr/>
            <w:r>
              <w:rPr/>
              <w:t xml:space="preserve">«Արտաքին տնտեսական գործունեության ապրանքային անվանացանկ» (ԱՏԳ ԱԱ) դասակարգչի 2208 40 ծածկագրին դասվող ռոմի և 2208 50 ծածկագրին դասվող ջինի արտադրություն</w:t>
            </w:r>
          </w:p>
        </w:tc>
        <w:tc>
          <w:tcPr>
            <w:tcW w:w="600" w:type="dxa"/>
            <w:noWrap/>
          </w:tcPr>
          <w:p>
            <w:pPr/>
            <w:r>
              <w:rPr/>
              <w:t xml:space="preserve">ԿՄ</w:t>
            </w:r>
          </w:p>
        </w:tc>
        <w:tc>
          <w:tcPr>
            <w:tcW w:w="450" w:type="dxa"/>
            <w:noWrap/>
          </w:tcPr>
          <w:p>
            <w:pPr/>
            <w:r>
              <w:rPr/>
              <w:t xml:space="preserve">-</w:t>
            </w:r>
          </w:p>
        </w:tc>
        <w:tc>
          <w:tcPr>
            <w:tcW w:w="1860" w:type="dxa"/>
            <w:noWrap/>
          </w:tcPr>
          <w:p>
            <w:pPr/>
            <w:r>
              <w:rPr/>
              <w:t xml:space="preserve">Վ</w:t>
            </w:r>
          </w:p>
        </w:tc>
        <w:tc>
          <w:tcPr>
            <w:tcW w:w="450" w:type="dxa"/>
            <w:noWrap/>
          </w:tcPr>
          <w:p>
            <w:pPr/>
            <w:r>
              <w:rPr/>
              <w:t xml:space="preserve"> </w:t>
            </w:r>
          </w:p>
        </w:tc>
      </w:tr>
      <w:tr>
        <w:trPr/>
        <w:tc>
          <w:tcPr>
            <w:tcW w:w="345" w:type="dxa"/>
            <w:noWrap/>
          </w:tcPr>
          <w:p>
            <w:pPr/>
            <w:r>
              <w:rPr/>
              <w:t xml:space="preserve"> </w:t>
            </w:r>
          </w:p>
        </w:tc>
        <w:tc>
          <w:tcPr>
            <w:tcW w:w="720" w:type="dxa"/>
            <w:noWrap/>
          </w:tcPr>
          <w:p>
            <w:pPr/>
            <w:r>
              <w:rPr/>
              <w:t xml:space="preserve">3.1.</w:t>
            </w:r>
          </w:p>
        </w:tc>
        <w:tc>
          <w:tcPr>
            <w:tcW w:w="6015" w:type="dxa"/>
            <w:noWrap/>
          </w:tcPr>
          <w:p>
            <w:pPr/>
            <w:r>
              <w:rPr/>
              <w:t xml:space="preserve">   Խաղողի, պտղահատապտղային և մեղրի օղիների ու սպիրտային այլ թուրմերի (անիսոն, ապերատիվ, բալզամ, ռաքիա և այլն) և 22 տոկոսից ավելի սպիրտ պարունակող այլ սպիրտային խմիչքների (բացառությամբ խաղողի, պտղահատապտղային և մեղրի հումքից բացի այլ հումքով օղիների)   արտադրություն</w:t>
            </w:r>
          </w:p>
        </w:tc>
        <w:tc>
          <w:tcPr>
            <w:tcW w:w="600" w:type="dxa"/>
            <w:noWrap/>
          </w:tcPr>
          <w:p>
            <w:pPr/>
            <w:r>
              <w:rPr/>
              <w:t xml:space="preserve">ԿՄ</w:t>
            </w:r>
          </w:p>
        </w:tc>
        <w:tc>
          <w:tcPr>
            <w:tcW w:w="450" w:type="dxa"/>
            <w:noWrap/>
          </w:tcPr>
          <w:p>
            <w:pPr/>
            <w:r>
              <w:rPr/>
              <w:t xml:space="preserve">-</w:t>
            </w:r>
          </w:p>
        </w:tc>
        <w:tc>
          <w:tcPr>
            <w:tcW w:w="1860" w:type="dxa"/>
            <w:noWrap/>
          </w:tcPr>
          <w:p>
            <w:pPr/>
            <w:r>
              <w:rPr/>
              <w:t xml:space="preserve">Վ</w:t>
            </w:r>
          </w:p>
        </w:tc>
        <w:tc>
          <w:tcPr>
            <w:tcW w:w="450" w:type="dxa"/>
            <w:noWrap/>
          </w:tcPr>
          <w:p>
            <w:pPr/>
            <w:r>
              <w:rPr/>
              <w:t xml:space="preserve"> </w:t>
            </w:r>
          </w:p>
          <w:p>
            <w:pPr/>
            <w:r>
              <w:rPr/>
              <w:t xml:space="preserve"> </w:t>
            </w:r>
          </w:p>
          <w:p>
            <w:pPr/>
            <w:r>
              <w:rPr/>
              <w:t xml:space="preserve"> </w:t>
            </w:r>
          </w:p>
        </w:tc>
      </w:tr>
      <w:tr>
        <w:trPr/>
        <w:tc>
          <w:tcPr>
            <w:tcW w:w="345" w:type="dxa"/>
            <w:noWrap/>
          </w:tcPr>
          <w:p>
            <w:pPr/>
            <w:r>
              <w:rPr/>
              <w:t xml:space="preserve"> </w:t>
            </w:r>
          </w:p>
        </w:tc>
        <w:tc>
          <w:tcPr>
            <w:tcW w:w="720" w:type="dxa"/>
            <w:noWrap/>
          </w:tcPr>
          <w:p>
            <w:pPr/>
            <w:r>
              <w:rPr/>
              <w:t xml:space="preserve">8.1.</w:t>
            </w:r>
          </w:p>
        </w:tc>
        <w:tc>
          <w:tcPr>
            <w:tcW w:w="6015" w:type="dxa"/>
            <w:noWrap/>
          </w:tcPr>
          <w:p>
            <w:pPr/>
            <w:r>
              <w:rPr/>
              <w:t xml:space="preserve">«Արտաքին տնտեսական գործունեության ապրանքային անվանացանկ» (ԱՏԳ ԱԱ) դասակարգչի 220820 ծածկագրին դասվող կոնյակի և  բրենդիի և ԱՏԳ ԱԱ դասակարգչի 220820890 ծածկագրին դասվող մինչև 100 հազար լիտր (100-տոկոսանոց սպիրտի հաշվարկով) կոնյակի և բրենդիի սպիրտների ԵԱՏՄ անդամ չհամարվող պետություններից «Բացթողնում` ներքին սպառման համար», «Վերամշակում` մաքսային տարածքում» և «Վերամշակում` ներքին սպառման համար» մաքսային ընթացակարգերով ներմուծում, ինչպես նաև ԵԱՏՄ անդամ պետություններից ներմուծում, այդ թվում` վերամշակման նպատակով ներմուծում</w:t>
            </w:r>
          </w:p>
        </w:tc>
        <w:tc>
          <w:tcPr>
            <w:tcW w:w="600" w:type="dxa"/>
            <w:noWrap/>
          </w:tcPr>
          <w:p>
            <w:pPr/>
            <w:r>
              <w:rPr/>
              <w:t xml:space="preserve">ԿՄ</w:t>
            </w:r>
          </w:p>
        </w:tc>
        <w:tc>
          <w:tcPr>
            <w:tcW w:w="450" w:type="dxa"/>
            <w:noWrap/>
          </w:tcPr>
          <w:p>
            <w:pPr/>
            <w:r>
              <w:rPr/>
              <w:t xml:space="preserve">Ա</w:t>
            </w:r>
          </w:p>
        </w:tc>
        <w:tc>
          <w:tcPr>
            <w:tcW w:w="1860" w:type="dxa"/>
            <w:noWrap/>
          </w:tcPr>
          <w:p>
            <w:pPr/>
            <w:r>
              <w:rPr/>
              <w:t xml:space="preserve">  </w:t>
            </w:r>
          </w:p>
        </w:tc>
        <w:tc>
          <w:tcPr>
            <w:tcW w:w="450" w:type="dxa"/>
            <w:noWrap/>
          </w:tcPr>
          <w:p>
            <w:pPr/>
            <w:r>
              <w:rPr/>
              <w:t xml:space="preserve"> </w:t>
            </w:r>
          </w:p>
        </w:tc>
      </w:tr>
      <w:tr>
        <w:trPr/>
        <w:tc>
          <w:tcPr>
            <w:tcW w:w="345" w:type="dxa"/>
            <w:noWrap/>
          </w:tcPr>
          <w:p>
            <w:pPr/>
            <w:r>
              <w:rPr/>
              <w:t xml:space="preserve"> </w:t>
            </w:r>
          </w:p>
        </w:tc>
        <w:tc>
          <w:tcPr>
            <w:tcW w:w="720" w:type="dxa"/>
            <w:noWrap/>
          </w:tcPr>
          <w:p>
            <w:pPr/>
            <w:r>
              <w:rPr/>
              <w:t xml:space="preserve">8.2.</w:t>
            </w:r>
          </w:p>
        </w:tc>
        <w:tc>
          <w:tcPr>
            <w:tcW w:w="6015" w:type="dxa"/>
            <w:noWrap/>
          </w:tcPr>
          <w:p>
            <w:pPr/>
            <w:r>
              <w:rPr/>
              <w:t xml:space="preserve">«Արտաքին տնտեսական գործունեության ապրանքային անվանացանկ» (ԱՏԳ ԱԱ) դասակարգչի 220820890 ծածկագրին դասվող կոնյակի և բրենդիի սպիրտներ ներմուծողների կողմից 100 հազար լիտրը (100-տոկոսանոց սպիրտի հաշվարկով) ներմուծելուց հետո այլ խմբաքանակների ԵԱՏՄ անդամ չհամարվող պետություններից «Բացթողնում` ներքին սպառման համար», «Վերամշակում` մաքսային տարածքում» և «Վերամշակում` ներքին սպառման համար» մաքսային ընթացակարգերով ներմուծում, ինչպես նաև ԵԱՏՄ անդամ պետություններից ներմուծում, այդ թվում` վերամշակման նպատակով ներմուծում</w:t>
            </w:r>
          </w:p>
        </w:tc>
        <w:tc>
          <w:tcPr>
            <w:tcW w:w="600" w:type="dxa"/>
            <w:noWrap/>
          </w:tcPr>
          <w:p>
            <w:pPr/>
            <w:r>
              <w:rPr/>
              <w:t xml:space="preserve">ԿՄ</w:t>
            </w:r>
          </w:p>
        </w:tc>
        <w:tc>
          <w:tcPr>
            <w:tcW w:w="450" w:type="dxa"/>
            <w:noWrap/>
          </w:tcPr>
          <w:p>
            <w:pPr/>
            <w:r>
              <w:rPr/>
              <w:t xml:space="preserve">Ա</w:t>
            </w:r>
          </w:p>
        </w:tc>
        <w:tc>
          <w:tcPr>
            <w:tcW w:w="1860" w:type="dxa"/>
            <w:noWrap/>
          </w:tcPr>
          <w:p>
            <w:pPr/>
            <w:r>
              <w:rPr/>
              <w:t xml:space="preserve">  </w:t>
            </w:r>
          </w:p>
        </w:tc>
        <w:tc>
          <w:tcPr>
            <w:tcW w:w="450" w:type="dxa"/>
            <w:noWrap/>
          </w:tcPr>
          <w:p>
            <w:pPr/>
            <w:r>
              <w:rPr/>
              <w:t xml:space="preserve">»։</w:t>
            </w:r>
          </w:p>
        </w:tc>
      </w:tr>
    </w:tbl>
    <w:p>
      <w:pPr>
        <w:numPr>
          <w:ilvl w:val="0"/>
          <w:numId w:val="4"/>
        </w:numPr>
      </w:pPr>
      <w:r>
        <w:rPr/>
        <w:t xml:space="preserve">3-րդ կետից հետո լրացնել հետևյալ բովանդակությամբ նոր 1.4-րդ կետով՝</w:t>
      </w:r>
    </w:p>
    <w:p>
      <w:pPr/>
      <w:r>
        <w:rPr/>
        <w:t xml:space="preserve"> </w:t>
      </w:r>
    </w:p>
    <w:tbl>
      <w:tblGrid>
        <w:gridCol w:w="360" w:type="dxa"/>
        <w:gridCol w:w="720" w:type="dxa"/>
        <w:gridCol w:w="6030" w:type="dxa"/>
        <w:gridCol w:w="540" w:type="dxa"/>
        <w:gridCol w:w="480" w:type="dxa"/>
        <w:gridCol w:w="1860" w:type="dxa"/>
        <w:gridCol w:w="450" w:type="dxa"/>
      </w:tblGrid>
      <w:tblPr>
        <w:tblW w:w="10440" w:type="dxa"/>
        <w:tblLayout w:type="autofit"/>
      </w:tblPr>
      <w:tr>
        <w:trPr/>
        <w:tc>
          <w:tcPr>
            <w:tcW w:w="360" w:type="dxa"/>
            <w:noWrap/>
          </w:tcPr>
          <w:p>
            <w:pPr/>
            <w:r>
              <w:rPr/>
              <w:t xml:space="preserve">«</w:t>
            </w:r>
          </w:p>
        </w:tc>
        <w:tc>
          <w:tcPr>
            <w:tcW w:w="720" w:type="dxa"/>
            <w:noWrap/>
          </w:tcPr>
          <w:p>
            <w:pPr/>
            <w:r>
              <w:rPr/>
              <w:t xml:space="preserve">1.4</w:t>
            </w:r>
          </w:p>
        </w:tc>
        <w:tc>
          <w:tcPr>
            <w:tcW w:w="6030" w:type="dxa"/>
            <w:noWrap/>
          </w:tcPr>
          <w:p>
            <w:pPr/>
            <w:r>
              <w:rPr/>
              <w:t xml:space="preserve">«Արտաքին տնտեսական գործունեության ապրանքային անվանացանկ» (ԱՏԳ ԱԱ) դասակարգչի 2208 30 ծածկագրին դասվող վիսկիների արտադրություն</w:t>
            </w:r>
          </w:p>
        </w:tc>
        <w:tc>
          <w:tcPr>
            <w:tcW w:w="540" w:type="dxa"/>
            <w:noWrap/>
          </w:tcPr>
          <w:p>
            <w:pPr/>
            <w:r>
              <w:rPr/>
              <w:t xml:space="preserve">ԿՄ</w:t>
            </w:r>
          </w:p>
        </w:tc>
        <w:tc>
          <w:tcPr>
            <w:tcW w:w="480" w:type="dxa"/>
            <w:noWrap/>
          </w:tcPr>
          <w:p>
            <w:pPr/>
            <w:r>
              <w:rPr/>
              <w:t xml:space="preserve">-</w:t>
            </w:r>
          </w:p>
        </w:tc>
        <w:tc>
          <w:tcPr>
            <w:tcW w:w="1860" w:type="dxa"/>
            <w:noWrap/>
          </w:tcPr>
          <w:p>
            <w:pPr/>
            <w:r>
              <w:rPr/>
              <w:t xml:space="preserve">Վ</w:t>
            </w:r>
          </w:p>
        </w:tc>
        <w:tc>
          <w:tcPr>
            <w:tcW w:w="450" w:type="dxa"/>
            <w:noWrap/>
          </w:tcPr>
          <w:p>
            <w:pPr/>
            <w:r>
              <w:rPr/>
              <w:t xml:space="preserve">»։</w:t>
            </w:r>
          </w:p>
        </w:tc>
      </w:tr>
    </w:tbl>
    <w:p>
      <w:pPr/>
      <w:r>
        <w:rPr/>
        <w:t xml:space="preserve"> </w:t>
      </w:r>
    </w:p>
    <w:p>
      <w:pPr/>
      <w:r>
        <w:rPr>
          <w:b w:val="1"/>
          <w:bCs w:val="1"/>
        </w:rPr>
        <w:t xml:space="preserve">    Հոդված 2.</w:t>
      </w:r>
      <w:r>
        <w:rPr/>
        <w:t xml:space="preserve"> </w:t>
      </w:r>
      <w:r>
        <w:rPr>
          <w:b w:val="1"/>
          <w:bCs w:val="1"/>
        </w:rPr>
        <w:t xml:space="preserve">Եզրափակիչ մաս և անցումային դրույթներ</w:t>
      </w:r>
    </w:p>
    <w:p>
      <w:pPr>
        <w:numPr>
          <w:ilvl w:val="0"/>
          <w:numId w:val="5"/>
        </w:numPr>
      </w:pPr>
      <w:r>
        <w:rPr/>
        <w:t xml:space="preserve">Սույն օրենքն ուժի մեջ է մտնում պաշտոնական հրապարակման օրվան հաջորդող տասներորդ օրը, բացառությամբ սույն օրենքի 1-ին հոդվածի 1․4-րդ և 3-րդ կետերի, որոնք ուժի մեջ են մտնում սույն օրենքի պաշտոնական ուժի մեջ մտնելու օրվանից վեց ամիս հետո:</w:t>
      </w:r>
    </w:p>
    <w:p>
      <w:pPr>
        <w:numPr>
          <w:ilvl w:val="0"/>
          <w:numId w:val="5"/>
        </w:numPr>
      </w:pPr>
      <w:r>
        <w:rPr/>
        <w:t xml:space="preserve">Սույն օրենքն ուժի մեջ մտնելուց հետո Օրենքով սահմանված կարգով թորած ալկոհոլային խմիչքների և խմորման նյութերից էթիլային սպիրտի արտադրության՝ ծանուցման ենթակա գործունեությամբ զբաղվելու իրավունք ունեցող անձինք մինչև տարեկան հերթական պետական տուրքի վճարման ժամկետը կարող են զբաղվել գործունեության իրականացման իրավունք ձեռք բերած գործունեության տեսակներով, որից հետո Օրենքով սահմանված կարգով պետք է ներկայացնեն սահմանված տեսակի գործունեության իրականացման ծանուցում։</w:t>
      </w:r>
    </w:p>
    <w:p>
      <w:pPr/>
      <w:r>
        <w:rPr/>
        <w:t xml:space="preserve">   </w:t>
      </w:r>
    </w:p>
    <w:p>
      <w:pPr>
        <w:jc w:val="end"/>
      </w:pPr>
      <w:r>
        <w:rPr/>
        <w:t xml:space="preserve">ՆԱԽԱԳԻԾ</w:t>
      </w:r>
    </w:p>
    <w:p>
      <w:pPr/>
      <w:r>
        <w:rPr/>
        <w:t xml:space="preserve"> </w:t>
      </w:r>
    </w:p>
    <w:p>
      <w:pPr>
        <w:jc w:val="center"/>
      </w:pPr>
      <w:r>
        <w:rPr/>
        <w:t xml:space="preserve">ՀԱՅԱUՏԱՆԻ ՀԱՆՐԱՊԵՏՈՒԹՅԱՆ</w:t>
      </w:r>
    </w:p>
    <w:p>
      <w:pPr>
        <w:jc w:val="center"/>
      </w:pPr>
      <w:r>
        <w:rPr/>
        <w:t xml:space="preserve">OՐԵՆՔԸ</w:t>
      </w:r>
    </w:p>
    <w:p>
      <w:pPr/>
      <w:r>
        <w:rPr/>
        <w:t xml:space="preserve"> </w:t>
      </w:r>
    </w:p>
    <w:p>
      <w:pPr>
        <w:jc w:val="center"/>
      </w:pPr>
      <w:r>
        <w:rPr>
          <w:b w:val="1"/>
          <w:bCs w:val="1"/>
        </w:rPr>
        <w:t xml:space="preserve">«</w:t>
      </w:r>
      <w:r>
        <w:rPr>
          <w:b w:val="1"/>
          <w:bCs w:val="1"/>
        </w:rPr>
        <w:t xml:space="preserve">ՊԵՏԱԿԱՆ</w:t>
      </w:r>
      <w:r>
        <w:rPr>
          <w:b w:val="1"/>
          <w:bCs w:val="1"/>
        </w:rPr>
        <w:t xml:space="preserve"> </w:t>
      </w:r>
      <w:r>
        <w:rPr>
          <w:b w:val="1"/>
          <w:bCs w:val="1"/>
        </w:rPr>
        <w:t xml:space="preserve">ՏՈՒՐՔԻ</w:t>
      </w:r>
      <w:r>
        <w:rPr/>
        <w:t xml:space="preserve"> </w:t>
      </w:r>
      <w:r>
        <w:rPr>
          <w:b w:val="1"/>
          <w:bCs w:val="1"/>
        </w:rPr>
        <w:t xml:space="preserve">ՄԱՍԻՆ</w:t>
      </w:r>
      <w:r>
        <w:rPr>
          <w:b w:val="1"/>
          <w:bCs w:val="1"/>
        </w:rPr>
        <w:t xml:space="preserve">» </w:t>
      </w: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ՕՐԵՆՔՈՒՄ</w:t>
      </w:r>
      <w:r>
        <w:rPr/>
        <w:t xml:space="preserve"> </w:t>
      </w:r>
      <w:r>
        <w:rPr>
          <w:b w:val="1"/>
          <w:bCs w:val="1"/>
        </w:rPr>
        <w:t xml:space="preserve">ՓՈՓՈԽՈՒԹՅՈՒՆՆԵՐ</w:t>
      </w:r>
      <w:r>
        <w:rPr/>
        <w:t xml:space="preserve"> </w:t>
      </w:r>
      <w:r>
        <w:rPr>
          <w:b w:val="1"/>
          <w:bCs w:val="1"/>
        </w:rPr>
        <w:t xml:space="preserve">ԵՎ</w:t>
      </w:r>
      <w:r>
        <w:rPr/>
        <w:t xml:space="preserve"> </w:t>
      </w:r>
      <w:r>
        <w:rPr>
          <w:b w:val="1"/>
          <w:bCs w:val="1"/>
        </w:rPr>
        <w:t xml:space="preserve">ԼՐԱՑՈՒՄՆԵՐ ԿԱՏԱՐԵԼՈՒ</w:t>
      </w:r>
      <w:r>
        <w:rPr/>
        <w:t xml:space="preserve"> </w:t>
      </w:r>
      <w:r>
        <w:rPr>
          <w:b w:val="1"/>
          <w:bCs w:val="1"/>
        </w:rPr>
        <w:t xml:space="preserve">ՄԱՍԻՆ</w:t>
      </w:r>
    </w:p>
    <w:p>
      <w:pPr/>
      <w:r>
        <w:rPr/>
        <w:t xml:space="preserve"> </w:t>
      </w:r>
    </w:p>
    <w:p>
      <w:pPr/>
      <w:r>
        <w:rPr>
          <w:b w:val="1"/>
          <w:bCs w:val="1"/>
        </w:rPr>
        <w:t xml:space="preserve">    Հոդված</w:t>
      </w:r>
      <w:r>
        <w:rPr>
          <w:b w:val="1"/>
          <w:bCs w:val="1"/>
        </w:rPr>
        <w:t xml:space="preserve"> 1.</w:t>
      </w:r>
      <w:r>
        <w:rPr>
          <w:b w:val="1"/>
          <w:bCs w:val="1"/>
        </w:rPr>
        <w:t xml:space="preserve"> </w:t>
      </w:r>
      <w:r>
        <w:rPr/>
        <w:t xml:space="preserve">«Պետական տուրքի մասին» 1997 թվականի դեկտեմբերի 27-ի ՀO-186-Ն օրենքի (այuուհետ` oրենք) 20.1-ին հոդվածի 1-ին մասի աղյուսակում՝</w:t>
      </w:r>
    </w:p>
    <w:p>
      <w:pPr/>
      <w:r>
        <w:rPr/>
        <w:t xml:space="preserve">    1)  2-րդ, 3-րդ, 4-րդ, 6-րդ, 8-րդ, 9-րդ և 10-րդ կետերն ուժը կորցրած ճանաչել,</w:t>
      </w:r>
    </w:p>
    <w:p>
      <w:pPr/>
      <w:r>
        <w:rPr/>
        <w:t xml:space="preserve">    2) 5-րդ, 5.1-ին, 5.2-րդ, 7-րդ, 7.1-ին և 11.1-ին կետերը շարադրել հետևյալ նոր խմբագրությամբ`</w:t>
      </w:r>
    </w:p>
    <w:tbl>
      <w:tblGrid>
        <w:gridCol w:w="345" w:type="dxa"/>
        <w:gridCol w:w="6825" w:type="dxa"/>
        <w:gridCol w:w="2895" w:type="dxa"/>
        <w:gridCol w:w="405" w:type="dxa"/>
      </w:tblGrid>
      <w:tblPr>
        <w:tblW w:w="10470" w:type="dxa"/>
        <w:tblLayout w:type="autofit"/>
      </w:tblPr>
      <w:tr>
        <w:trPr/>
        <w:tc>
          <w:tcPr>
            <w:tcW w:w="345" w:type="dxa"/>
            <w:noWrap/>
          </w:tcPr>
          <w:p>
            <w:pPr/>
            <w:r>
              <w:rPr/>
              <w:t xml:space="preserve">«</w:t>
            </w:r>
          </w:p>
        </w:tc>
        <w:tc>
          <w:tcPr>
            <w:tcW w:w="6825" w:type="dxa"/>
            <w:noWrap/>
          </w:tcPr>
          <w:p>
            <w:pPr/>
            <w:r>
              <w:rPr/>
              <w:t xml:space="preserve">5) «Արտաքին տնտեսական գործունեության ապրանքային անվանացանկ» (ԱՏԳ ԱԱ) դասակարգչի 2207 ծածկագրին դասվող էթիլային սպիրտի և 2208 ծածկագրին (բացառությամբ սույն աղյուսակի 1.1-ին, 1.2-րդ, 1.3-րդ, 1.4-րդ, 3-րդ, 3.1-ին կետերում նշված գործունեության տեսակների և  մինչև 22 տոկոս սպիրտ պարունակող այլ սպիրտային խմիչքների արտադրության) դասվող ապրանքների արտադրության իրականացման իրավունք ձեռք բերելու համար</w:t>
            </w:r>
          </w:p>
        </w:tc>
        <w:tc>
          <w:tcPr>
            <w:tcW w:w="2895" w:type="dxa"/>
            <w:noWrap/>
          </w:tcPr>
          <w:p>
            <w:pPr/>
            <w:r>
              <w:rPr/>
              <w:t xml:space="preserve">տարեկան բազային</w:t>
            </w:r>
            <w:br/>
            <w:r>
              <w:rPr/>
              <w:t xml:space="preserve"> տուրքի 15000-ապատիկի չափով</w:t>
            </w:r>
          </w:p>
        </w:tc>
        <w:tc>
          <w:tcPr>
            <w:tcW w:w="405" w:type="dxa"/>
            <w:noWrap/>
          </w:tcPr>
          <w:p>
            <w:pPr/>
            <w:r>
              <w:rPr/>
              <w:t xml:space="preserve"> </w:t>
            </w:r>
          </w:p>
        </w:tc>
      </w:tr>
      <w:tr>
        <w:trPr/>
        <w:tc>
          <w:tcPr>
            <w:tcW w:w="345" w:type="dxa"/>
            <w:noWrap/>
          </w:tcPr>
          <w:p>
            <w:pPr/>
            <w:r>
              <w:rPr/>
              <w:t xml:space="preserve"> </w:t>
            </w:r>
          </w:p>
        </w:tc>
        <w:tc>
          <w:tcPr>
            <w:tcW w:w="6825" w:type="dxa"/>
            <w:noWrap/>
          </w:tcPr>
          <w:p>
            <w:pPr/>
            <w:r>
              <w:rPr/>
              <w:t xml:space="preserve">5.1) «Արտաքին տնտեսական գործունեության ապրանքային անվանացանկ» (ԱՏԳ ԱԱ) դասակարգչի 220820 ծածկագրին դասվող կոնյակի և բրենդիի արտադրություն և ԱՏԳ ԱԱ դասակարգչի 220820890 ծածկագրին դասվող կոնյակի և բրենդիի սպիրտների արտադրություն և մինչև 100 հազար լիտր (100-տոկոսանոց սպիրտի հաշվարկով) իրացման իրավունք ձեռք բերելու համար։</w:t>
            </w:r>
          </w:p>
          <w:p>
            <w:pPr/>
            <w:r>
              <w:rPr/>
              <w:t xml:space="preserve">  Արտադրողի կողմից 100 հազար լիտրից ավելի իրացված ԱՏԳ ԱԱ դասակարգչի 220820890 ծածկագրին դասվող կոնյակի և բրենդիի սպիրտների յուրաքանչյուր լիտրի  (100-տոկոսանոց սպիրտի հաշվարկով) համար լրացուցիչ։</w:t>
            </w:r>
          </w:p>
        </w:tc>
        <w:tc>
          <w:tcPr>
            <w:tcW w:w="2895" w:type="dxa"/>
            <w:noWrap/>
          </w:tcPr>
          <w:p>
            <w:pPr/>
            <w:r>
              <w:rPr/>
              <w:t xml:space="preserve">տարեկան բազային տուրքի 10000-ապատիկի չափով</w:t>
            </w:r>
          </w:p>
          <w:p>
            <w:pPr/>
            <w:r>
              <w:rPr/>
              <w:t xml:space="preserve"> </w:t>
            </w:r>
          </w:p>
          <w:p>
            <w:pPr/>
            <w:r>
              <w:rPr/>
              <w:t xml:space="preserve"> </w:t>
            </w:r>
          </w:p>
          <w:p>
            <w:pPr/>
            <w:r>
              <w:rPr/>
              <w:t xml:space="preserve"> 100 դրամ</w:t>
            </w:r>
          </w:p>
        </w:tc>
        <w:tc>
          <w:tcPr>
            <w:tcW w:w="405" w:type="dxa"/>
            <w:noWrap/>
          </w:tcPr>
          <w:p>
            <w:pPr/>
            <w:r>
              <w:rPr/>
              <w:t xml:space="preserve"> </w:t>
            </w:r>
          </w:p>
        </w:tc>
      </w:tr>
      <w:tr>
        <w:trPr/>
        <w:tc>
          <w:tcPr>
            <w:tcW w:w="345" w:type="dxa"/>
            <w:noWrap/>
          </w:tcPr>
          <w:p>
            <w:pPr/>
            <w:r>
              <w:rPr/>
              <w:t xml:space="preserve"> </w:t>
            </w:r>
          </w:p>
        </w:tc>
        <w:tc>
          <w:tcPr>
            <w:tcW w:w="6825" w:type="dxa"/>
            <w:noWrap/>
          </w:tcPr>
          <w:p>
            <w:pPr/>
            <w:r>
              <w:rPr/>
              <w:t xml:space="preserve">5.2) «Արտաքին տնտեսական գործունեության ապրանքային անվանացանկ» (ԱՏԳ ԱԱ) դասակարգչի 220820 ծածկագրին դասվող կոնյակի, բրենդիի, կոնյակի և բրենդիի սպիրտների արտադրություն՝ առանց իրացման իրավունքի</w:t>
            </w:r>
          </w:p>
        </w:tc>
        <w:tc>
          <w:tcPr>
            <w:tcW w:w="2895" w:type="dxa"/>
            <w:noWrap/>
          </w:tcPr>
          <w:p>
            <w:pPr/>
            <w:r>
              <w:rPr/>
              <w:t xml:space="preserve">տարեկան բազային տուրքի 50-ապատիկի չափով</w:t>
            </w:r>
          </w:p>
        </w:tc>
        <w:tc>
          <w:tcPr>
            <w:tcW w:w="405" w:type="dxa"/>
            <w:noWrap/>
          </w:tcPr>
          <w:p>
            <w:pPr/>
            <w:r>
              <w:rPr/>
              <w:t xml:space="preserve"> </w:t>
            </w:r>
          </w:p>
        </w:tc>
      </w:tr>
      <w:tr>
        <w:trPr/>
        <w:tc>
          <w:tcPr>
            <w:tcW w:w="345" w:type="dxa"/>
            <w:noWrap/>
          </w:tcPr>
          <w:p>
            <w:pPr/>
            <w:r>
              <w:rPr/>
              <w:t xml:space="preserve"> </w:t>
            </w:r>
          </w:p>
        </w:tc>
        <w:tc>
          <w:tcPr>
            <w:tcW w:w="6825" w:type="dxa"/>
            <w:noWrap/>
          </w:tcPr>
          <w:p>
            <w:pPr/>
            <w:r>
              <w:rPr/>
              <w:t xml:space="preserve">7) «Արտաքին տնտեսական գործունեության ապրանքային անվանացանկ» (ԱՏԳ ԱԱ) դասակարգչի 2208 40 ծածկագրին դասվող ռոմի և 2208 50 ծածկագրին դասվող ջինի արտադրության իրականացման իրավունք ձեռք բերելու համար</w:t>
            </w:r>
          </w:p>
        </w:tc>
        <w:tc>
          <w:tcPr>
            <w:tcW w:w="2895" w:type="dxa"/>
            <w:noWrap/>
          </w:tcPr>
          <w:p>
            <w:pPr/>
            <w:r>
              <w:rPr/>
              <w:t xml:space="preserve">տարեկան բազային տուրքի 50-ապատիկի չափով</w:t>
            </w:r>
          </w:p>
        </w:tc>
        <w:tc>
          <w:tcPr>
            <w:tcW w:w="405" w:type="dxa"/>
            <w:noWrap/>
          </w:tcPr>
          <w:p>
            <w:pPr/>
            <w:r>
              <w:rPr/>
              <w:t xml:space="preserve"> </w:t>
            </w:r>
          </w:p>
        </w:tc>
      </w:tr>
      <w:tr>
        <w:trPr/>
        <w:tc>
          <w:tcPr>
            <w:tcW w:w="345" w:type="dxa"/>
            <w:noWrap/>
          </w:tcPr>
          <w:p>
            <w:pPr/>
            <w:r>
              <w:rPr/>
              <w:t xml:space="preserve"> </w:t>
            </w:r>
          </w:p>
        </w:tc>
        <w:tc>
          <w:tcPr>
            <w:tcW w:w="6825" w:type="dxa"/>
            <w:noWrap/>
          </w:tcPr>
          <w:p>
            <w:pPr/>
            <w:r>
              <w:rPr/>
              <w:t xml:space="preserve">7.1) Խաղողի, պտղահատապտղային և մեղրի օղիների ու սպիրտային այլ թուրմերի (անիսոն, ապերատիվ, բալզամ, ռաքիա և այլն) և 22 տոկոսից ավելի սպիրտ պարունակող այլ սպիրտային խմիչքների (բացառությամբ խաղողի, պտղահատապտղային և մեղրի հումքից բացի այլ հումքով օղիների)   արտադրության իրականացման իրավունք ձեռք բերելու համար</w:t>
            </w:r>
          </w:p>
        </w:tc>
        <w:tc>
          <w:tcPr>
            <w:tcW w:w="2895" w:type="dxa"/>
            <w:noWrap/>
          </w:tcPr>
          <w:p>
            <w:pPr/>
            <w:r>
              <w:rPr/>
              <w:t xml:space="preserve">տարեկան բազային տուրքի 50-ապատիկի չափով</w:t>
            </w:r>
          </w:p>
        </w:tc>
        <w:tc>
          <w:tcPr>
            <w:tcW w:w="405" w:type="dxa"/>
            <w:noWrap/>
          </w:tcPr>
          <w:p>
            <w:pPr/>
            <w:r>
              <w:rPr/>
              <w:t xml:space="preserve"> </w:t>
            </w:r>
          </w:p>
        </w:tc>
      </w:tr>
      <w:tr>
        <w:trPr/>
        <w:tc>
          <w:tcPr>
            <w:tcW w:w="345" w:type="dxa"/>
            <w:noWrap/>
          </w:tcPr>
          <w:p>
            <w:pPr/>
            <w:r>
              <w:rPr/>
              <w:t xml:space="preserve"> </w:t>
            </w:r>
          </w:p>
        </w:tc>
        <w:tc>
          <w:tcPr>
            <w:tcW w:w="6825" w:type="dxa"/>
            <w:noWrap/>
          </w:tcPr>
          <w:p>
            <w:pPr/>
            <w:r>
              <w:rPr/>
              <w:t xml:space="preserve">11.1) «Արտաքին տնտեսական գործունեության ապրանքային անվանացանկ» (ԱՏԳ ԱԱ) դասակարգչի 220820 ծածկագրին դասվող կոնյակի և  բրենդիի և ԱՏԳ ԱԱ դասակարգչի 220820890 ծածկագրին դասվող մինչև 100 հազար լիտր (100-տոկոսանոց սպիրտի հաշվարկով) կոնյակի և բրենդիի սպիրտների ԵԱՏՄ անդամ չհամարվող պետություններից «Բացթողնում` ներքին սպառման համար», «Վերամշակում` մաքսային տարածքում» և «Վերամշակում` ներքին սպառման համար» մաքսային ընթացակարգերով ներմուծում, ինչպես նաև ԵԱՏՄ անդամ պետություններից ներմուծում, այդ թվում` վերամշակման նպատակով ներմուծման իրավունք ձեռք բերելու համար:</w:t>
            </w:r>
          </w:p>
          <w:p>
            <w:pPr/>
            <w:r>
              <w:rPr/>
              <w:t xml:space="preserve"> </w:t>
            </w:r>
          </w:p>
          <w:p>
            <w:pPr/>
            <w:r>
              <w:rPr/>
              <w:t xml:space="preserve">   Ներմուծողի կողմից 100 հազար լիտրից ավելի ԵԱՏՄ անդամ չհամարվող պետություններից «Բացթողնում` ներքին սպառման համար», «Վերամշակում` մաքսային տարածքում» և «Վերամշակում` ներքին սպառման համար» մաքսային ընթացակարգերով ներմուծված, ինչպես նաև ԵԱՏՄ անդամ պետություններից ներմուծված, այդ թվում` վերամշակման նպատակով ներմուծված ԱՏԳ ԱԱ դասակարգչի 220820890 ծածկագրին դասվող արտադրանքի յուրաքանչյուր լիտրի 100-տոկոսանոց սպիրտի հաշվարկով) համար լրացուցիչ:</w:t>
            </w:r>
          </w:p>
        </w:tc>
        <w:tc>
          <w:tcPr>
            <w:tcW w:w="2895" w:type="dxa"/>
            <w:noWrap/>
          </w:tcPr>
          <w:p>
            <w:pPr/>
            <w:r>
              <w:rPr/>
              <w:t xml:space="preserve">տարեկան բազային</w:t>
            </w:r>
            <w:br/>
            <w:r>
              <w:rPr/>
              <w:t xml:space="preserve"> տուրքի 10000-ապատիկի չափով</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100 դրամ</w:t>
            </w:r>
          </w:p>
        </w:tc>
        <w:tc>
          <w:tcPr>
            <w:tcW w:w="405" w:type="dxa"/>
            <w:noWrap/>
          </w:tcPr>
          <w:p>
            <w:pPr/>
            <w:r>
              <w:rPr/>
              <w:t xml:space="preserve">».</w:t>
            </w:r>
          </w:p>
        </w:tc>
      </w:tr>
    </w:tbl>
    <w:p>
      <w:pPr/>
      <w:r>
        <w:rPr/>
        <w:t xml:space="preserve"> </w:t>
      </w:r>
    </w:p>
    <w:p>
      <w:pPr/>
      <w:r>
        <w:rPr/>
        <w:t xml:space="preserve">    3) 5.2-րդ կետից հետո լրացնել հետևյալ բովանդակությամբ նոր 5.3-րդ կետով՝</w:t>
      </w:r>
    </w:p>
    <w:tbl>
      <w:tblGrid>
        <w:gridCol w:w="540" w:type="dxa"/>
        <w:gridCol w:w="6840" w:type="dxa"/>
        <w:gridCol w:w="2880" w:type="dxa"/>
        <w:gridCol w:w="360" w:type="dxa"/>
      </w:tblGrid>
      <w:tblPr>
        <w:tblW w:w="10620" w:type="dxa"/>
        <w:tblLayout w:type="autofit"/>
      </w:tblPr>
      <w:tr>
        <w:trPr/>
        <w:tc>
          <w:tcPr>
            <w:tcW w:w="540" w:type="dxa"/>
            <w:noWrap/>
          </w:tcPr>
          <w:p>
            <w:pPr/>
            <w:r>
              <w:rPr/>
              <w:t xml:space="preserve">«</w:t>
            </w:r>
          </w:p>
        </w:tc>
        <w:tc>
          <w:tcPr>
            <w:tcW w:w="6840" w:type="dxa"/>
            <w:noWrap/>
          </w:tcPr>
          <w:p>
            <w:pPr/>
            <w:r>
              <w:rPr/>
              <w:t xml:space="preserve">5.3) «Արտաքին տնտեսական գործունեության ապրանքային անվանացանկ» (ԱՏԳ ԱԱ) դասակարգչի 2208 30 ծածկագրին դասվող վիսկիների արտադրության իրականացման իրավունք ձեռք բերելու համար</w:t>
            </w:r>
          </w:p>
        </w:tc>
        <w:tc>
          <w:tcPr>
            <w:tcW w:w="2880" w:type="dxa"/>
            <w:noWrap/>
          </w:tcPr>
          <w:p>
            <w:pPr/>
            <w:r>
              <w:rPr/>
              <w:t xml:space="preserve">տարեկան բազային տուրքի 5000-ապատիկի չափով</w:t>
            </w:r>
          </w:p>
        </w:tc>
        <w:tc>
          <w:tcPr>
            <w:tcW w:w="360" w:type="dxa"/>
            <w:noWrap/>
          </w:tcPr>
          <w:p>
            <w:pPr/>
            <w:r>
              <w:rPr/>
              <w:t xml:space="preserve">»։</w:t>
            </w:r>
          </w:p>
        </w:tc>
      </w:tr>
    </w:tbl>
    <w:p>
      <w:pPr/>
      <w:r>
        <w:rPr/>
        <w:t xml:space="preserve">     4) 2-րդ մասում «5.1-ին, 5.2-րդ » բառերը փոխարինել «5-րդ, 5.1-ին, 5.2-րդ, 5.3-րդ, 7-րդ, 7.1-ին» բառերով.</w:t>
      </w:r>
    </w:p>
    <w:p>
      <w:pPr/>
      <w:r>
        <w:rPr/>
        <w:t xml:space="preserve">    3) 2.1-ին մասում՝</w:t>
      </w:r>
    </w:p>
    <w:p>
      <w:pPr/>
      <w:r>
        <w:rPr/>
        <w:t xml:space="preserve">    ա. «և 1.1-ին» բառերը փոխարինել «, 1.1-ին և 1․4-րդ» բառերով.</w:t>
      </w:r>
    </w:p>
    <w:p>
      <w:pPr/>
      <w:r>
        <w:rPr/>
        <w:t xml:space="preserve">    բ.  «ա.» կետի ամբողջ տեքստում «1.1-ին» բառից հետո լրացնել «կամ 1․4-րդ» բառերը»,</w:t>
      </w:r>
    </w:p>
    <w:p>
      <w:pPr/>
      <w:r>
        <w:rPr/>
        <w:t xml:space="preserve">    գ. «բ.» կետից հետո լրացնել նոր «գ․» կետ հետևյալ խմբագրությամբ՝</w:t>
      </w:r>
    </w:p>
    <w:p>
      <w:pPr/>
      <w:r>
        <w:rPr/>
        <w:t xml:space="preserve">    «գ. 1․4-րդ կետում նշված գործունեության տեսակի իրականացման իրավունք և լրացուցիչ ծանուցում է ներկայացրել միաժամանակ 1-ին կամ 1.1-ին կետերի գործունեության տեսակներով զբաղվելու համար, ապա վճարում է լրացուցիչ պետական տուրք` տարեկան բազային տուրքի 10000-ապատիկի չափով, իսկ 1-ին կամ 1.1-ին կետերի գործունեության տեսակներով զբաղվելու իրավունքը գործում է մինչև 1․4-րդ կետի գործունեության տեսակով զբաղվելու համար պետական տուրքի վճարման հաջորդ ժամկետի սկիզբը:</w:t>
      </w:r>
    </w:p>
    <w:p>
      <w:pPr/>
      <w:r>
        <w:rPr>
          <w:b w:val="1"/>
          <w:bCs w:val="1"/>
        </w:rPr>
        <w:t xml:space="preserve">     Հոդված 2. </w:t>
      </w:r>
      <w:r>
        <w:rPr/>
        <w:t xml:space="preserve">Օրենքի 38-րդ հոդվածի 1-ին մասի «է.» կետից հանել «, ինչպես նաև սույն օրենքի 20.1-ին հոդվածի 1-ին կետի 5.1-ին և 11.1-ին ենթակետերով սահմանված գործունեության իրավունք ձեռք բերելու համար վճարված պետական տուրքը» բառերը։</w:t>
      </w:r>
    </w:p>
    <w:p>
      <w:pPr/>
      <w:r>
        <w:rPr>
          <w:b w:val="1"/>
          <w:bCs w:val="1"/>
        </w:rPr>
        <w:t xml:space="preserve">    Հոդված 3.</w:t>
      </w:r>
      <w:r>
        <w:rPr/>
        <w:t xml:space="preserve"> </w:t>
      </w:r>
      <w:r>
        <w:rPr>
          <w:b w:val="1"/>
          <w:bCs w:val="1"/>
        </w:rPr>
        <w:t xml:space="preserve">Եզրափակիչ մաս</w:t>
      </w:r>
    </w:p>
    <w:p>
      <w:pPr/>
      <w:r>
        <w:rPr/>
        <w:t xml:space="preserve"> </w:t>
      </w:r>
    </w:p>
    <w:p>
      <w:pPr/>
      <w:r>
        <w:rPr/>
        <w:t xml:space="preserve">1․ Սույն օրենքն ուժի մեջ է մտնում պաշտոնական հրապարակման օրվանից վեց ամիս հետո:</w:t>
      </w:r>
    </w:p>
    <w:p>
      <w:pPr/>
      <w:r>
        <w:rPr/>
        <w:t xml:space="preserve"> </w:t>
      </w:r>
    </w:p>
    <w:p>
      <w:pPr/>
      <w:r>
        <w:rPr/>
        <w:t xml:space="preserve"> </w:t>
      </w:r>
    </w:p>
    <w:p>
      <w:pPr>
        <w:jc w:val="end"/>
      </w:pPr>
      <w:r>
        <w:rPr/>
        <w:t xml:space="preserve">ՆԱԽԱԳԻԾ</w:t>
      </w:r>
    </w:p>
    <w:p>
      <w:pPr/>
      <w:r>
        <w:rPr/>
        <w:t xml:space="preserve"> </w:t>
      </w:r>
    </w:p>
    <w:p>
      <w:pPr>
        <w:jc w:val="center"/>
      </w:pPr>
      <w:r>
        <w:rPr/>
        <w:t xml:space="preserve">ՀԱՅԱՍՏԱՆԻ ՀԱՆՐԱՊԵՏՈՒԹՅԱՆ</w:t>
      </w:r>
    </w:p>
    <w:p>
      <w:pPr>
        <w:jc w:val="center"/>
      </w:pPr>
      <w:r>
        <w:rPr/>
        <w:t xml:space="preserve">ՕՐԵՆՔ</w:t>
      </w:r>
    </w:p>
    <w:p>
      <w:pPr>
        <w:jc w:val="center"/>
      </w:pPr>
      <w:r>
        <w:rPr/>
        <w:t xml:space="preserve">«ԱՌԵՎՏՐԻ ԵՎ ԾԱՌԱՅՈՒԹՅՈՒՆՆԵՐԻ ՄԱՍԻՆ» ՀԱՅԱԱՏԱՆԻ ՀԱՆՐԱՊԵՏՈՒԹՅԱՆ ՕՐԵՆՔՈՒՄ ՓՈՓՈԽՈՒԹՅՈՒՆՆԵՐ ԿԱՏԱՐԵԼՈՒ ՄԱՍԻՆ</w:t>
      </w:r>
    </w:p>
    <w:p>
      <w:pPr/>
      <w:r>
        <w:rPr>
          <w:b w:val="1"/>
          <w:bCs w:val="1"/>
        </w:rPr>
        <w:t xml:space="preserve">Հոդված</w:t>
      </w:r>
      <w:r>
        <w:rPr>
          <w:b w:val="1"/>
          <w:bCs w:val="1"/>
        </w:rPr>
        <w:t xml:space="preserve"> 1.</w:t>
      </w:r>
      <w:r>
        <w:rPr/>
        <w:t xml:space="preserve"> «Առևտրի և ծառայությունների մասին» Հայաստանի Հանրապետության 2004 թվականի նոյեմբերի 24-ի N ՀՕ-134-Ն օրենքի (այսուհետ` Օրենք) 2-րդ հոդվածի 15-րդ պարբերությունից հանել «սույն օրենքով սահմանված դեպքերում առևտրի իրականացման վայրի կազմակերպման իրականացման իրավունք ձեռք բերած և» բառերը:</w:t>
      </w:r>
    </w:p>
    <w:p>
      <w:pPr/>
      <w:r>
        <w:rPr>
          <w:b w:val="1"/>
          <w:bCs w:val="1"/>
        </w:rPr>
        <w:t xml:space="preserve">Հոդված</w:t>
      </w:r>
      <w:r>
        <w:rPr>
          <w:b w:val="1"/>
          <w:bCs w:val="1"/>
        </w:rPr>
        <w:t xml:space="preserve"> 2. </w:t>
      </w:r>
      <w:r>
        <w:rPr/>
        <w:t xml:space="preserve">Օրենքի 3.1-րդ հոդվածը ուժը կորցրած ճանաչել</w:t>
      </w:r>
      <w:r>
        <w:rPr>
          <w:b w:val="1"/>
          <w:bCs w:val="1"/>
        </w:rPr>
        <w:t xml:space="preserve">:</w:t>
      </w:r>
    </w:p>
    <w:p>
      <w:pPr/>
      <w:r>
        <w:rPr>
          <w:b w:val="1"/>
          <w:bCs w:val="1"/>
        </w:rPr>
        <w:t xml:space="preserve">Հոդված 3. </w:t>
      </w:r>
      <w:r>
        <w:rPr/>
        <w:t xml:space="preserve">Օրենքի 5-րդ հոդվածի 10-րդ մասը ուժը կորցրած ճանաչել:</w:t>
      </w:r>
    </w:p>
    <w:p>
      <w:pPr/>
      <w:r>
        <w:rPr>
          <w:b w:val="1"/>
          <w:bCs w:val="1"/>
        </w:rPr>
        <w:t xml:space="preserve">Հոդված</w:t>
      </w:r>
      <w:r>
        <w:rPr>
          <w:b w:val="1"/>
          <w:bCs w:val="1"/>
        </w:rPr>
        <w:t xml:space="preserve"> 4. </w:t>
      </w:r>
      <w:r>
        <w:rPr/>
        <w:t xml:space="preserve">Օրենքի 7-րդ հոդվածում`</w:t>
      </w:r>
    </w:p>
    <w:p>
      <w:pPr/>
      <w:r>
        <w:rPr/>
        <w:t xml:space="preserve"> </w:t>
      </w:r>
      <w:r>
        <w:rPr>
          <w:b w:val="1"/>
          <w:bCs w:val="1"/>
        </w:rPr>
        <w:t xml:space="preserve">1)</w:t>
      </w:r>
      <w:r>
        <w:rPr/>
        <w:t xml:space="preserve">  1-ին մասի «ե», «զ» և «է» կետերը ուժը կորցրած ճանաչել:</w:t>
      </w:r>
    </w:p>
    <w:p>
      <w:pPr/>
      <w:r>
        <w:rPr>
          <w:b w:val="1"/>
          <w:bCs w:val="1"/>
        </w:rPr>
        <w:t xml:space="preserve"> 2)</w:t>
      </w:r>
      <w:r>
        <w:rPr/>
        <w:t xml:space="preserve"> 3-րդ մասի երրորդ պարբերությունից հանել «կամ սույն օրենքի 3.1-րդ հոդվածի 3-րդ մասով սահմանված պահանջների խախտմամբ կնքված պայմանագրերի,» բառերը:</w:t>
      </w:r>
    </w:p>
    <w:p>
      <w:pPr/>
      <w:r>
        <w:rPr>
          <w:b w:val="1"/>
          <w:bCs w:val="1"/>
        </w:rPr>
        <w:t xml:space="preserve"> </w:t>
      </w:r>
      <w:r>
        <w:rPr>
          <w:b w:val="1"/>
          <w:bCs w:val="1"/>
        </w:rPr>
        <w:t xml:space="preserve">Հոդված</w:t>
      </w:r>
      <w:r>
        <w:rPr>
          <w:b w:val="1"/>
          <w:bCs w:val="1"/>
        </w:rPr>
        <w:t xml:space="preserve"> 5. </w:t>
      </w:r>
      <w:r>
        <w:rPr/>
        <w:t xml:space="preserve">Օրենքի 17-րդ հոդվածի 1-ին մասից հանել «3.1-րդ հոդվածի» ինչպես նաև ««ե», «զ» և «է»» բառերը:</w:t>
      </w:r>
    </w:p>
    <w:p>
      <w:pPr/>
      <w:r>
        <w:rPr/>
        <w:t xml:space="preserve"> </w:t>
      </w:r>
      <w:r>
        <w:rPr>
          <w:b w:val="1"/>
          <w:bCs w:val="1"/>
        </w:rPr>
        <w:t xml:space="preserve">Հոդված</w:t>
      </w:r>
      <w:r>
        <w:rPr>
          <w:b w:val="1"/>
          <w:bCs w:val="1"/>
        </w:rPr>
        <w:t xml:space="preserve"> 6. </w:t>
      </w:r>
      <w:r>
        <w:rPr/>
        <w:t xml:space="preserve">Օրենքի 19-րդ հոդվածից 6-րդ և 7-րդ մասերը ուժը կորցրած ճանաչել:</w:t>
      </w:r>
    </w:p>
    <w:p>
      <w:pPr/>
      <w:r>
        <w:rPr>
          <w:b w:val="1"/>
          <w:bCs w:val="1"/>
        </w:rPr>
        <w:t xml:space="preserve"> </w:t>
      </w:r>
      <w:r>
        <w:rPr>
          <w:b w:val="1"/>
          <w:bCs w:val="1"/>
        </w:rPr>
        <w:t xml:space="preserve">Հոդված</w:t>
      </w:r>
      <w:r>
        <w:rPr>
          <w:b w:val="1"/>
          <w:bCs w:val="1"/>
        </w:rPr>
        <w:t xml:space="preserve"> 7. </w:t>
      </w:r>
      <w:r>
        <w:rPr/>
        <w:t xml:space="preserve">Սույն օրենքն ուժի մեջ է մտնում պաշտոնական հրապարակման օրվան հաջորդող տասներորդ օրը:</w:t>
      </w:r>
    </w:p>
    <w:p>
      <w:pPr/>
      <w:r>
        <w:rPr/>
        <w:t xml:space="preserve"> </w:t>
      </w:r>
    </w:p>
    <w:p>
      <w:pPr>
        <w:jc w:val="end"/>
      </w:pPr>
      <w:r>
        <w:rPr/>
        <w:t xml:space="preserve"> </w:t>
      </w:r>
    </w:p>
    <w:p>
      <w:pPr>
        <w:jc w:val="end"/>
      </w:pPr>
      <w:r>
        <w:rPr/>
        <w:t xml:space="preserve">ՆԱԽԱԳԻԾ</w:t>
      </w:r>
    </w:p>
    <w:p>
      <w:pPr/>
      <w:r>
        <w:rPr>
          <w:b w:val="1"/>
          <w:bCs w:val="1"/>
        </w:rPr>
        <w:t xml:space="preserve"> </w:t>
      </w:r>
    </w:p>
    <w:p>
      <w:pPr>
        <w:jc w:val="center"/>
      </w:pPr>
      <w:r>
        <w:rPr>
          <w:b w:val="1"/>
          <w:bCs w:val="1"/>
        </w:rPr>
        <w:t xml:space="preserve">ՀԱՅԱՍՏԱՆԻ</w:t>
      </w:r>
      <w:r>
        <w:rPr/>
        <w:t xml:space="preserve"> </w:t>
      </w:r>
      <w:r>
        <w:rPr>
          <w:b w:val="1"/>
          <w:bCs w:val="1"/>
        </w:rPr>
        <w:t xml:space="preserve">ՀԱՆՐԱՊԵՏՈՒԹՅԱՆ</w:t>
      </w:r>
    </w:p>
    <w:p>
      <w:pPr>
        <w:jc w:val="center"/>
      </w:pPr>
      <w:r>
        <w:rPr>
          <w:b w:val="1"/>
          <w:bCs w:val="1"/>
        </w:rPr>
        <w:t xml:space="preserve">Օ</w:t>
      </w:r>
      <w:r>
        <w:rPr/>
        <w:t xml:space="preserve"> </w:t>
      </w:r>
      <w:r>
        <w:rPr>
          <w:b w:val="1"/>
          <w:bCs w:val="1"/>
        </w:rPr>
        <w:t xml:space="preserve">Ր</w:t>
      </w:r>
      <w:r>
        <w:rPr/>
        <w:t xml:space="preserve"> </w:t>
      </w:r>
      <w:r>
        <w:rPr>
          <w:b w:val="1"/>
          <w:bCs w:val="1"/>
        </w:rPr>
        <w:t xml:space="preserve">Ե</w:t>
      </w:r>
      <w:r>
        <w:rPr/>
        <w:t xml:space="preserve"> </w:t>
      </w:r>
      <w:r>
        <w:rPr>
          <w:b w:val="1"/>
          <w:bCs w:val="1"/>
        </w:rPr>
        <w:t xml:space="preserve">Ն</w:t>
      </w:r>
      <w:r>
        <w:rPr/>
        <w:t xml:space="preserve"> </w:t>
      </w:r>
      <w:r>
        <w:rPr>
          <w:b w:val="1"/>
          <w:bCs w:val="1"/>
        </w:rPr>
        <w:t xml:space="preserve">Ք</w:t>
      </w:r>
      <w:r>
        <w:rPr/>
        <w:t xml:space="preserve"> </w:t>
      </w:r>
      <w:r>
        <w:rPr>
          <w:b w:val="1"/>
          <w:bCs w:val="1"/>
        </w:rPr>
        <w:t xml:space="preserve">Ը</w:t>
      </w:r>
    </w:p>
    <w:p>
      <w:pPr>
        <w:jc w:val="center"/>
      </w:pPr>
      <w:r>
        <w:rPr>
          <w:b w:val="1"/>
          <w:bCs w:val="1"/>
        </w:rPr>
        <w:t xml:space="preserve">ՎԱՐՉԱԿԱՆ</w:t>
      </w:r>
      <w:r>
        <w:rPr/>
        <w:t xml:space="preserve"> </w:t>
      </w:r>
      <w:r>
        <w:rPr>
          <w:b w:val="1"/>
          <w:bCs w:val="1"/>
        </w:rPr>
        <w:t xml:space="preserve">ԻՐԱՎԱԽԱԽՏՈՒՄՆԵՐԻ</w:t>
      </w:r>
      <w:r>
        <w:rPr/>
        <w:t xml:space="preserve"> </w:t>
      </w:r>
      <w:r>
        <w:rPr>
          <w:b w:val="1"/>
          <w:bCs w:val="1"/>
        </w:rPr>
        <w:t xml:space="preserve">ՎԵՐԱԲԵՐՅԱԼ</w:t>
      </w:r>
      <w:r>
        <w:rPr/>
        <w:t xml:space="preserve"> </w:t>
      </w: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ՕՐԵՆՍԳՐՔՈՒՄ</w:t>
      </w:r>
      <w:r>
        <w:rPr/>
        <w:t xml:space="preserve"> </w:t>
      </w:r>
      <w:r>
        <w:rPr>
          <w:b w:val="1"/>
          <w:bCs w:val="1"/>
        </w:rPr>
        <w:t xml:space="preserve">ՓՈՓՈԽՈՒԹՅՈՒՆ</w:t>
      </w:r>
      <w:r>
        <w:rPr/>
        <w:t xml:space="preserve"> </w:t>
      </w:r>
      <w:r>
        <w:rPr>
          <w:b w:val="1"/>
          <w:bCs w:val="1"/>
        </w:rPr>
        <w:t xml:space="preserve">ԿԱՏԱՐԵԼՈՒ</w:t>
      </w:r>
      <w:r>
        <w:rPr>
          <w:b w:val="1"/>
          <w:bCs w:val="1"/>
        </w:rPr>
        <w:t xml:space="preserve"> </w:t>
      </w:r>
      <w:r>
        <w:rPr>
          <w:b w:val="1"/>
          <w:bCs w:val="1"/>
        </w:rPr>
        <w:t xml:space="preserve">ՄԱՍԻՆ</w:t>
      </w:r>
    </w:p>
    <w:p>
      <w:pPr/>
      <w:r>
        <w:rPr/>
        <w:t xml:space="preserve"> </w:t>
      </w:r>
    </w:p>
    <w:p>
      <w:pPr/>
      <w:r>
        <w:rPr>
          <w:b w:val="1"/>
          <w:bCs w:val="1"/>
        </w:rPr>
        <w:t xml:space="preserve">Հոդված</w:t>
      </w:r>
      <w:r>
        <w:rPr>
          <w:b w:val="1"/>
          <w:bCs w:val="1"/>
        </w:rPr>
        <w:t xml:space="preserve"> 1.</w:t>
      </w:r>
      <w:r>
        <w:rPr/>
        <w:t xml:space="preserve"> Վարչական իրավախախտումների վերաբերյալ Հայաստանի Հանրապետության 1985 թվականի դեկտեմբերի 6-ի օրենսգրքի (այսուհետ` Օրենսգիրք) 158-րդ հոդվածի 28-րդ մասը ուժը կորցրած ճանաչել:</w:t>
      </w:r>
    </w:p>
    <w:p>
      <w:pPr/>
      <w:r>
        <w:rPr/>
        <w:t xml:space="preserve"> </w:t>
      </w:r>
    </w:p>
    <w:p>
      <w:pPr/>
      <w:r>
        <w:rPr>
          <w:b w:val="1"/>
          <w:bCs w:val="1"/>
        </w:rPr>
        <w:t xml:space="preserve">Հոդված</w:t>
      </w:r>
      <w:r>
        <w:rPr>
          <w:b w:val="1"/>
          <w:bCs w:val="1"/>
        </w:rPr>
        <w:t xml:space="preserve"> 2.</w:t>
      </w:r>
      <w:r>
        <w:rPr>
          <w:b w:val="1"/>
          <w:bCs w:val="1"/>
        </w:rPr>
        <w:t xml:space="preserve"> </w:t>
      </w:r>
      <w:r>
        <w:rPr/>
        <w:t xml:space="preserve">Սույն օրենքն ուժի մեջ է մտնում պաշտոնական հրապարակման օրվան հաջորդող տասներորդ օրը:</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803DB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756F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94B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CBF7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2026-04-03T18:46:09+04:00</dcterms:created>
  <dcterms:modified xsi:type="dcterms:W3CDTF">2026-04-03T18:46:09+04:00</dcterms:modified>
</cp:coreProperties>
</file>

<file path=docProps/custom.xml><?xml version="1.0" encoding="utf-8"?>
<Properties xmlns="http://schemas.openxmlformats.org/officeDocument/2006/custom-properties" xmlns:vt="http://schemas.openxmlformats.org/officeDocument/2006/docPropsVTypes"/>
</file>