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Հանցագործությամբ տուժողներին պատճառված վնասի փոխհատուցման սկզբունքները, առաջնահերթությունները, փոխհատուցման կարգը և չափը սահմանելու մասին» ՀՀ կառավարության որոշման նախագիծ</w:t>
      </w:r>
      <w:bookmarkEnd w:id="0"/>
    </w:p>
    <w:p>
      <w:pPr>
        <w:pStyle w:val="Heading1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­­­­­­­­­­­­­­­­­</w:t>
      </w:r>
      <w:r>
        <w:rPr>
          <w:b w:val="1"/>
          <w:bCs w:val="1"/>
          <w:u w:val="single"/>
        </w:rPr>
        <w:t xml:space="preserve">                     </w:t>
      </w:r>
      <w:r>
        <w:rPr>
          <w:b w:val="1"/>
          <w:bCs w:val="1"/>
        </w:rPr>
        <w:t xml:space="preserve">2022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</w:t>
      </w:r>
      <w:r>
        <w:rPr>
          <w:b w:val="1"/>
          <w:bCs w:val="1"/>
          <w:u w:val="single"/>
        </w:rPr>
        <w:t xml:space="preserve">             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ՀԱՆՑԱԳՈՐԾՈՒԹՅԱՄԲ</w:t>
      </w:r>
      <w:r>
        <w:rPr/>
        <w:t xml:space="preserve"> </w:t>
      </w:r>
      <w:r>
        <w:rPr>
          <w:b w:val="1"/>
          <w:bCs w:val="1"/>
        </w:rPr>
        <w:t xml:space="preserve">ՏՈՒԺՈՂՆԵՐԻՆ</w:t>
      </w:r>
      <w:r>
        <w:rPr/>
        <w:t xml:space="preserve"> </w:t>
      </w:r>
      <w:r>
        <w:rPr>
          <w:b w:val="1"/>
          <w:bCs w:val="1"/>
        </w:rPr>
        <w:t xml:space="preserve">ՊԱՏՃԱՌՎԱԾ</w:t>
      </w:r>
      <w:r>
        <w:rPr/>
        <w:t xml:space="preserve"> </w:t>
      </w:r>
      <w:r>
        <w:rPr>
          <w:b w:val="1"/>
          <w:bCs w:val="1"/>
        </w:rPr>
        <w:t xml:space="preserve">ՎՆԱՍԻ</w:t>
      </w:r>
      <w:r>
        <w:rPr/>
        <w:t xml:space="preserve"> </w:t>
      </w:r>
      <w:r>
        <w:rPr>
          <w:b w:val="1"/>
          <w:bCs w:val="1"/>
        </w:rPr>
        <w:t xml:space="preserve">ՓՈԽՀԱՏՈՒՑՄԱՆ</w:t>
      </w:r>
      <w:r>
        <w:rPr/>
        <w:t xml:space="preserve"> </w:t>
      </w:r>
      <w:r>
        <w:rPr>
          <w:b w:val="1"/>
          <w:bCs w:val="1"/>
        </w:rPr>
        <w:t xml:space="preserve">ՍԿԶԲՈՒՆՔՆԵՐԸ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ԱՌԱՋՆԱՀԵՐԹՈՒԹՅՈՒՆՆԵՐԸ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ՓՈԽՀԱՏՈՒՑՄԱՆ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ՉԱՓԸ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Հայաստանի Հանրապետության քրեական օրենսգրքի 59-րդ հոդվածի 6-րդ մասի պահանջները`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Սահմանել հանցագործությամբ տուժողներին պատճառված վնասի փոխհատուցման սկզբունքները, առաջնահերթությունները, փոխհատուցման կարգը և չափը՝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«Հայաստանի Հանրապետության քրեական օրենսգիրք» 2021 թվականի մայիսի 5-ի ՀՕ-199-Ն օրենքի ուժի մեջ մտնելու օրը: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 Փաշինյա</w:t>
            </w:r>
            <w:r>
              <w:rPr>
                <w:b w:val="1"/>
                <w:bCs w:val="1"/>
              </w:rPr>
              <w:t xml:space="preserve">ն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</w:t>
      </w:r>
      <w:r>
        <w:rPr>
          <w:b w:val="1"/>
          <w:bCs w:val="1"/>
        </w:rPr>
        <w:t xml:space="preserve">2022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...............................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      </w:t>
      </w:r>
      <w:r>
        <w:rPr>
          <w:b w:val="1"/>
          <w:bCs w:val="1"/>
        </w:rPr>
        <w:t xml:space="preserve">               </w:t>
      </w:r>
      <w:r>
        <w:rPr>
          <w:b w:val="1"/>
          <w:bCs w:val="1"/>
        </w:rPr>
        <w:t xml:space="preserve">      Երևան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10290" w:type="dxa"/>
      </w:tblGrid>
      <w:tblPr>
        <w:tblW w:w="5000" w:type="pct"/>
        <w:tblLayout w:type="autofit"/>
      </w:tblPr>
      <w:tr>
        <w:trPr/>
        <w:tc>
          <w:tcPr>
            <w:tcW w:w="10290" w:type="dx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Հավելված</w:t>
            </w:r>
            <w:br/>
            <w:r>
              <w:rPr>
                <w:b w:val="1"/>
                <w:bCs w:val="1"/>
              </w:rPr>
              <w:t xml:space="preserve"> ՀՀ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կառավարության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2022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թվականի</w:t>
            </w:r>
            <w:br/>
            <w:r>
              <w:rPr>
                <w:b w:val="1"/>
                <w:bCs w:val="1"/>
              </w:rPr>
              <w:t xml:space="preserve"> ------------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--</w:t>
            </w:r>
            <w:r>
              <w:rPr>
                <w:b w:val="1"/>
                <w:bCs w:val="1"/>
              </w:rPr>
              <w:t xml:space="preserve">-ի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N -----Ն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որոշման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ՀԱՆՑԱԳՈՐԾՈՒԹՅԱՄԲ ՏՈՒԺՈՂՆԵՐԻՆ ՊԱՏՃԱՌՎԱԾ ՎՆԱՍԻ ՓՈԽՀԱՏՈՒՑՄԱՆ ՍԿԶԲՈՒՆՔՆԵՐԸ, ԱՌԱՋՆԱՀԵՐԹՈՒԹՅՈՒՆՆԵՐԸ, ՓՈԽՀԱՏՈՒՑՄԱՆ ԿԱՐԳԸ ԵՎ ՉԱՓԸ</w:t>
      </w:r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Հանցագործությամբ տուժողներին պատճառված վնասի փոխհատուցումն իրականացվում է թափանցիկության, անաչառության և մարդասիրության սկզբունքներով:</w:t>
      </w:r>
    </w:p>
    <w:p>
      <w:pPr>
        <w:numPr>
          <w:ilvl w:val="0"/>
          <w:numId w:val="3"/>
        </w:numPr>
      </w:pPr>
      <w:r>
        <w:rPr/>
        <w:t xml:space="preserve">Յուրաքանչյուր անգամ պետության կողմից հանցագործությամբ տուժողներին պատճառված վնասի փոխհատուցման առաջանահերթությունները որոշվում են՝ հաշվի առնելով հաշվետու ժամանակահատվածում հանցագործությունների վիճակագրությունը, որոշակի խումբ հանցագործությունների տարածվածությունը, տուժողների գույքային դրությունը, հանցագործությունների և դրանցով պատճառված վնասի բնույթը:</w:t>
      </w:r>
    </w:p>
    <w:p>
      <w:pPr>
        <w:numPr>
          <w:ilvl w:val="0"/>
          <w:numId w:val="3"/>
        </w:numPr>
      </w:pPr>
      <w:r>
        <w:rPr/>
        <w:t xml:space="preserve">Քրեական վարույթով հատուցման ենթակա են տուժողին պատճառված վնասի ներքոնշյալ տեսակները՝ նշված հերթականությամբ՝  </w:t>
      </w:r>
    </w:p>
    <w:p>
      <w:pPr>
        <w:numPr>
          <w:ilvl w:val="0"/>
          <w:numId w:val="4"/>
        </w:numPr>
      </w:pPr>
      <w:r>
        <w:rPr/>
        <w:t xml:space="preserve">բժշկական սպասարկման համար ծախսված գումարը,</w:t>
      </w:r>
    </w:p>
    <w:p>
      <w:pPr>
        <w:numPr>
          <w:ilvl w:val="0"/>
          <w:numId w:val="4"/>
        </w:numPr>
      </w:pPr>
      <w:r>
        <w:rPr/>
        <w:t xml:space="preserve">անաշխատունակության հետևանքով կրած դրամական վնասը,</w:t>
      </w:r>
    </w:p>
    <w:p>
      <w:pPr>
        <w:numPr>
          <w:ilvl w:val="0"/>
          <w:numId w:val="4"/>
        </w:numPr>
      </w:pPr>
      <w:r>
        <w:rPr/>
        <w:t xml:space="preserve">հուղարկավորության համար ծախսված գումարը,</w:t>
      </w:r>
    </w:p>
    <w:p>
      <w:pPr>
        <w:numPr>
          <w:ilvl w:val="0"/>
          <w:numId w:val="4"/>
        </w:numPr>
      </w:pPr>
      <w:r>
        <w:rPr/>
        <w:t xml:space="preserve">կերակրողին կորցնելու հետևանքով պատճառված դրամական վնասը,</w:t>
      </w:r>
    </w:p>
    <w:p>
      <w:pPr>
        <w:numPr>
          <w:ilvl w:val="0"/>
          <w:numId w:val="4"/>
        </w:numPr>
      </w:pPr>
      <w:r>
        <w:rPr/>
        <w:t xml:space="preserve">հափշտակված գումարը:</w:t>
      </w:r>
    </w:p>
    <w:p>
      <w:pPr>
        <w:numPr>
          <w:ilvl w:val="0"/>
          <w:numId w:val="5"/>
        </w:numPr>
      </w:pPr>
      <w:r>
        <w:rPr/>
        <w:t xml:space="preserve">Սույն կարգի 3-րդ կետով նախատեսված վնասի յուրաքանչյուր հաջորդ տեսակը ենթակա է հատուցման միայն նախորդ տեսակի վնասը հատուցելուց հետո:</w:t>
      </w:r>
    </w:p>
    <w:p>
      <w:pPr>
        <w:numPr>
          <w:ilvl w:val="0"/>
          <w:numId w:val="5"/>
        </w:numPr>
      </w:pPr>
      <w:r>
        <w:rPr/>
        <w:t xml:space="preserve">Հանցագործությունից տուժած անձինք հանցագործությամբ իրենց պատճառված վնասի համար կարող են դիմել լիազոր մարմնին՝ ներկայացնելով հետևյալ փաստաթղթերը՝</w:t>
      </w:r>
    </w:p>
    <w:p>
      <w:pPr>
        <w:numPr>
          <w:ilvl w:val="0"/>
          <w:numId w:val="6"/>
        </w:numPr>
      </w:pPr>
      <w:r>
        <w:rPr/>
        <w:t xml:space="preserve">անձը հաստատող փաստաթղթի պատճենը.</w:t>
      </w:r>
    </w:p>
    <w:p>
      <w:pPr>
        <w:numPr>
          <w:ilvl w:val="0"/>
          <w:numId w:val="6"/>
        </w:numPr>
      </w:pPr>
      <w:r>
        <w:rPr/>
        <w:t xml:space="preserve">քրեական վարույթով օրինական ուժի մեջ մտած եզրափակիչ դատավարական ակտը.</w:t>
      </w:r>
    </w:p>
    <w:p>
      <w:pPr>
        <w:numPr>
          <w:ilvl w:val="0"/>
          <w:numId w:val="6"/>
        </w:numPr>
      </w:pPr>
      <w:r>
        <w:rPr/>
        <w:t xml:space="preserve">տվյալ քրեական վարույթով իրեն որպես տուժող ճանաչելու մասին որոշումը.</w:t>
      </w:r>
    </w:p>
    <w:p>
      <w:pPr>
        <w:numPr>
          <w:ilvl w:val="0"/>
          <w:numId w:val="6"/>
        </w:numPr>
      </w:pPr>
      <w:r>
        <w:rPr/>
        <w:t xml:space="preserve">դրամական վնասի դեպքում` դրանց առկայությունը և չափը հաստատող փաստաթղթերը.</w:t>
      </w:r>
    </w:p>
    <w:p>
      <w:pPr>
        <w:numPr>
          <w:ilvl w:val="0"/>
          <w:numId w:val="6"/>
        </w:numPr>
      </w:pPr>
      <w:r>
        <w:rPr/>
        <w:t xml:space="preserve">կերակրողին կորցնելու հետևանքով պատճառված դրամական վնասի դեպքում` նշված փաստը հաստատող տվյալները.</w:t>
      </w:r>
    </w:p>
    <w:p>
      <w:pPr>
        <w:numPr>
          <w:ilvl w:val="0"/>
          <w:numId w:val="6"/>
        </w:numPr>
      </w:pPr>
      <w:r>
        <w:rPr/>
        <w:t xml:space="preserve">Հարկադիր կատարումն ապահովող ծառայության կատարողական վարույթի շրջանակներում պատճառված վնասը փոխհատուցելու անհնարինությունը հավաստող տվյալները.</w:t>
      </w:r>
    </w:p>
    <w:p>
      <w:pPr>
        <w:numPr>
          <w:ilvl w:val="0"/>
          <w:numId w:val="6"/>
        </w:numPr>
      </w:pPr>
      <w:r>
        <w:rPr/>
        <w:t xml:space="preserve">լիազոր մարմնին ուղղված դիմում:</w:t>
      </w:r>
    </w:p>
    <w:p>
      <w:pPr>
        <w:numPr>
          <w:ilvl w:val="0"/>
          <w:numId w:val="7"/>
        </w:numPr>
      </w:pPr>
      <w:r>
        <w:rPr/>
        <w:t xml:space="preserve">Հանցագործությամբ տուժողներին պատճառված վնասի փոխհատուցում ստանալու դիմում կարող է ներկայացվել, եթե պատճառված վնասը հնարավոր չի եղել փոխհատուցել Հարկադիր կատարման ծառայության կատարողական վարույթի շրջանակներում:</w:t>
      </w:r>
    </w:p>
    <w:p>
      <w:pPr>
        <w:numPr>
          <w:ilvl w:val="0"/>
          <w:numId w:val="7"/>
        </w:numPr>
      </w:pPr>
      <w:r>
        <w:rPr/>
        <w:t xml:space="preserve">Հանցագործությամբ տուժողներին պատճառված վնասի փոխհատուցում չի իրականացվում, եթե տուժողի կողմից կատարվել են հանցագործությանը նպաստող կամ քննությանը խոչընդոտող ապօրինի արարքներ:</w:t>
      </w:r>
    </w:p>
    <w:p>
      <w:pPr>
        <w:numPr>
          <w:ilvl w:val="0"/>
          <w:numId w:val="7"/>
        </w:numPr>
      </w:pPr>
      <w:r>
        <w:rPr/>
        <w:t xml:space="preserve">Լիազոր մարմնի կողմից իրականացվում է ներկայացված դիմումի և դրան կից փաստաթղթերի ուսումնասիրություն, որի հիման վրա որոշում է կայացվում ներկայացված հայտին հավանություն տալու կամ այն մերժելու մասին: Հայտին հավանություն տալու դեպքում լիազոր մարմինը սկսում է տուժողին պատճառված վնասի փոխհատուցման գործընթաց:</w:t>
      </w:r>
    </w:p>
    <w:p>
      <w:pPr>
        <w:numPr>
          <w:ilvl w:val="0"/>
          <w:numId w:val="7"/>
        </w:numPr>
      </w:pPr>
      <w:r>
        <w:rPr/>
        <w:t xml:space="preserve">Փոխհատուցում կարող է տրամադրվել, եթե պատճառված վնասի չափը գերազանցում է Հայաստանի Հանրապետությունում օրենքով սահմանված նվազագույն աշխատավարձի հիսնապատիկը:</w:t>
      </w:r>
    </w:p>
    <w:p>
      <w:pPr>
        <w:numPr>
          <w:ilvl w:val="0"/>
          <w:numId w:val="7"/>
        </w:numPr>
      </w:pPr>
      <w:r>
        <w:rPr/>
        <w:t xml:space="preserve">Փոխհատուցում կարող է տրամադրվել պատճառված վնասի (մեկից ավելի տեսակի վնաս պատճառված լինելու դեպքում՝ դրանց հանրագումարի) մինչև նվազագույն աշխատավարձի երկուհազարապատիկը չգերազանցող գումարի չափով:</w:t>
      </w:r>
    </w:p>
    <w:p>
      <w:pPr>
        <w:numPr>
          <w:ilvl w:val="0"/>
          <w:numId w:val="7"/>
        </w:numPr>
      </w:pPr>
      <w:r>
        <w:rPr/>
        <w:t xml:space="preserve">Սույն հավելվածով նախատեսված լիազոր մարմինը ճանաչվում է Հայաստանի Հանրապետության կառավարության կողմից՝ յուրաքանչյուր անգամ պետության կողմից հանցագործությամբ տուժողներին պատճառված վնասի փոխհատուցման մասին որոշում կայացնելու դեպքում: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579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FC8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598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7DF46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FED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AAE59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2026-04-04T02:48:00+04:00</dcterms:created>
  <dcterms:modified xsi:type="dcterms:W3CDTF">2026-04-04T02:48:00+04:00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