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«ԿԱՌԱՎԱՐՈՒԹՅԱՆ ԿԱՌՈՒՑՎԱԾՔԻ ԵՎ ԳՈՐԾՈՒՆԵՈՒԹՅԱՆ ՄԱՍԻՆ» ՕՐԵՆՔՈՒՄ ԼՐԱՑՈՒՄ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ԿԱՌՈՒՑՎԱԾՔԻ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ԳՈՐԾՈՒՆԵՈՒԹՅԱՆ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«Կառավարության կառուցվածքի և գործունեության մասին» 2018 թվականի մարտի 23-ի ՀՕ-253-Ն օրենքի 11-րդ հոդվածը լրացնել նոր՝ 8-րդ մասով՝ հետևյալ բովանդակությամբ.</w:t>
      </w:r>
    </w:p>
    <w:p>
      <w:pPr/>
      <w:r>
        <w:rPr/>
        <w:t xml:space="preserve">«8. Կառավարությունն իր ծրագրի հիման վրա պետության ներքին և արտաքին քաղաքականությունն իրականացնելիս, Կառավարության անդամների ձայների մեծամասնությամբ, կարող է ընդունել համապատասխան ոլորտային ռազմավարություններ:»: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 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2026-03-31T04:50:07+04:00</dcterms:created>
  <dcterms:modified xsi:type="dcterms:W3CDTF">2026-03-31T04:50:07+04:00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