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«ՔԱՂԱՔԱՇԻՆՈՒԹՅԱՆ ՄԱՍԻՆ» ՕՐԵՆՔՈՒՄ ԼՐԱՑՈՒՄՆԵՐ ԵՎ ՓՈՓՈԽՈՒԹՅՈՒՆՆԵՐ ԿԱՏԱՐԵԼՈՒ ՄԱՍԻՆ» ՀԱՅԱՍՏԱՆԻ ՀԱՆՐԱՊԵՏՈՒԹՅԱՆ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/>
        <w:t xml:space="preserve">«</w:t>
      </w:r>
      <w:r>
        <w:rPr>
          <w:b w:val="1"/>
          <w:bCs w:val="1"/>
        </w:rPr>
        <w:t xml:space="preserve">ՔԱՂԱՔԱՇԻՆՈՒԹՅԱՆ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  «Քաղաքաշինության մասին» 1998 թվականի մայիսի 5-ի  ՀՕ-217 օրենքի (այսուհետ՝ Օրենք) 10-րդ հոդվածը շարադրել նոր խմբագրությամբ.</w:t>
      </w:r>
    </w:p>
    <w:p>
      <w:pPr/>
      <w:r>
        <w:rPr/>
        <w:t xml:space="preserve">«Կառավարությունը քաղաքաշինության բնագավառում`</w:t>
      </w:r>
    </w:p>
    <w:p>
      <w:pPr/>
      <w:r>
        <w:rPr/>
        <w:t xml:space="preserve">1)հաստատում է քաղաքաշինության բնագավառում պետական քաղաքականությունը, Հայաստանի Հանրապետության տարածքի և բնակավայրերի կայուն զարգացման ռազմավարությունը.</w:t>
      </w:r>
    </w:p>
    <w:p>
      <w:pPr/>
      <w:r>
        <w:rPr/>
        <w:t xml:space="preserve">2) սահմանում է քաղաքաշինական փաստաթղթերի մշակման,  փորձաքննության և հաստատման կարգերը, ինչպես նաև քաղաքաշինական փաստաթղթերի փորձաքննության տեսակները.</w:t>
      </w:r>
    </w:p>
    <w:p>
      <w:pPr/>
      <w:r>
        <w:rPr/>
        <w:t xml:space="preserve">3) հաստատում է բնագավառի քաղաքաշինական և տարածքային զարգացման հանրապետական և մարզային պետական ծրագրերը.</w:t>
      </w:r>
    </w:p>
    <w:p>
      <w:pPr/>
      <w:r>
        <w:rPr/>
        <w:t xml:space="preserve">4) հաստատում է սույն օրենքի 17-րդ հոդվածի չորրորդ մասի «ա» և «բ» կետերով սահմանված, ինչպես նաև Հայաստանի Հանրապետության օրենքով նախատեսված դեպքերում` նաև այլ քաղաքաշինական փաստաթղթերը.</w:t>
      </w:r>
    </w:p>
    <w:p>
      <w:pPr/>
      <w:r>
        <w:rPr/>
        <w:t xml:space="preserve">5) հաստատում է քաղաքաշինական գործունեության տնտեսական խրախուսման քաղաքականությունը.</w:t>
      </w:r>
    </w:p>
    <w:p>
      <w:pPr/>
      <w:r>
        <w:rPr/>
        <w:t xml:space="preserve">6) հաստատում է հաշմանդամություն ունեցող անձանց համար բնակելի, հասարակական, արտադրական շենքերի ու շինությունների, տրանսպորտային ենթակառուցվածքների մատչելիության ապահովմանն ուղղված ծրագիրը, սահմանում է առաջնահերթություններ.</w:t>
      </w:r>
    </w:p>
    <w:p>
      <w:pPr/>
      <w:r>
        <w:rPr/>
        <w:t xml:space="preserve">7) հաստատում է միջպետական և հանրապետական նշանակության ընդհանուր օգտագործման պետական ավտոմոբիլային ճանապարհներին հարող տարածքների կազմակերպման ու տեղաբաշխման սխեմաների կարգերը, կառուցապատման նախագծերը ու դրանց կանոնակարգման միջոցառումները.     </w:t>
      </w:r>
    </w:p>
    <w:p>
      <w:pPr/>
      <w:r>
        <w:rPr/>
        <w:t xml:space="preserve">8) սահմանում է քաղաքաշինական գործունեության իրականացման և հողամասերի գործառնական նշանակության փոփոխության կարգերը՝  քաղաքաշինական ծրագրային փաստաթղթերի (տարածական պլանավորման փաստաթղթերի) բացակայության դեպքերում.</w:t>
      </w:r>
    </w:p>
    <w:p>
      <w:pPr/>
      <w:r>
        <w:rPr/>
        <w:t xml:space="preserve">9) սահմանում է շենքերի ու շինությունների տեխնիկական վիճակի հետազննության և անձնագրավորման կարգերը.</w:t>
      </w:r>
    </w:p>
    <w:p>
      <w:pPr/>
      <w:r>
        <w:rPr/>
        <w:t xml:space="preserve">10) սահմանում է  տարածքների ինժեներաերկրաբանական հետազննման կարգը.</w:t>
      </w:r>
    </w:p>
    <w:p>
      <w:pPr/>
      <w:r>
        <w:rPr/>
        <w:t xml:space="preserve">11) սահմանում է շինարարության ոլորտում գնագոյացման քաղաքականությունը, գնագոյացման նորմերի ու նորմատիվների կիրառման կարգը.</w:t>
      </w:r>
    </w:p>
    <w:p>
      <w:pPr/>
      <w:r>
        <w:rPr/>
        <w:t xml:space="preserve">12) հաստատում է շենքերի և շինությունների սեյսմակայունության (երկրաշարժադիմացկունության) բարելավման ռազմավարությունը.</w:t>
      </w:r>
    </w:p>
    <w:p>
      <w:pPr/>
      <w:r>
        <w:rPr/>
        <w:t xml:space="preserve">13) հաստատում է քաղաքաշինական գործունեության իրականացման և կառուցապատման թույլտվությունների (նախագծման առաջադրանքի, շինթույլտվության, ավարտական ակտի) տրամադրման կարգը.</w:t>
      </w:r>
    </w:p>
    <w:p>
      <w:pPr/>
      <w:r>
        <w:rPr/>
        <w:t xml:space="preserve">14) հաստատում է ինքնակամ կառույցների օրինականացման, տնօրինման և քանդման (ապամոնտաժման) կարգերը.</w:t>
      </w:r>
    </w:p>
    <w:p>
      <w:pPr/>
      <w:r>
        <w:rPr/>
        <w:t xml:space="preserve">15) սահմանում է շինարարության ոլորտի ռիսկայնության օբյեկտների դասակարգման մեթոդաբանությունը.</w:t>
      </w:r>
    </w:p>
    <w:p>
      <w:pPr/>
      <w:r>
        <w:rPr/>
        <w:t xml:space="preserve">16) հաստատում է կառուցապատման ներդրումային ծրագրերը.</w:t>
      </w:r>
    </w:p>
    <w:p>
      <w:pPr/>
      <w:r>
        <w:rPr/>
        <w:t xml:space="preserve">17) սահմանում է քաղաքաշինության բնագավառի գործունեության տեսակների պատասխանատու մասնագետների հավաստագրման, թեստավորման իրականացման և տրամադրման կարգը, հավաստագրերի ձևերը, լիցենզավորված անձանց և հավաստագրված մասնագետների ռեգիստրի ձևավորման, տվյալների փոփոխության, լրացման, վարման ռեգիստրից օգտվելու հասանելիություն ունեցող պետական մարմինների ցանկը և մոնիթորինգի իրականացման կարգը.</w:t>
      </w:r>
    </w:p>
    <w:p>
      <w:pPr/>
      <w:r>
        <w:rPr/>
        <w:t xml:space="preserve"> 18) հաստատում է շինարարության թույլտվություն չպահանջող աշխատանքների, ըստ ռիսկայնության աստիճանի քաղաքաշինական օբյեկտների դասակարգման և քաղաքաշինության բնագավառում լիցենզիա չպահանջող քաղաքաշինական աշխատանքների ցանկերը.</w:t>
      </w:r>
    </w:p>
    <w:p>
      <w:pPr/>
      <w:r>
        <w:rPr/>
        <w:t xml:space="preserve">19) սահմանում է Հայաստանի Հանրապետությունում գործող կազմակերպությունների նախաձեռնությամբ կամ հրավերով օտարերկրյա մասնագետների և կազմակերպությունների կարճաժամկետ գործունեության թույլտվության տրամադրման կարգը՝ քաղաքաշինության բնագավառի պետական կառավարման մարմնի ներկայացմամբ.</w:t>
      </w:r>
    </w:p>
    <w:p>
      <w:pPr/>
      <w:r>
        <w:rPr/>
        <w:t xml:space="preserve">20) սահմանում է բնական  և տեխնածին երևույթների հետևանքով քանդված բնակարանային ֆոնդի, ինչպես նաև ոչ հիմնական շինությունների բնակիչների վերաբնակեցման և տարածքների ազատման մոտեցումները և առաջնահերթությունները.</w:t>
      </w:r>
    </w:p>
    <w:p>
      <w:pPr/>
      <w:r>
        <w:rPr/>
        <w:t xml:space="preserve">21) սահմանում է ուժեղացման և վերակառուցման (3-րդ աստիճանի վնասվածություն ունեցող) և քանդման ենթակա՝ վթարային  (4-րդ աստիճանի վնասվածություն ունեցող) բնակարանային ֆոնդի հիմնախնդիրների կանոնակարգման պետական քաղաքականությունը, այդ ֆոնդից քաղաքացիների վերաբնակեցման կարգը, բնակարանային ֆոնդի տեխնիկական վիճակի հետազնությունների անցկացման  և հետազննության արդյունքում տրված եզրակացությունների վարման, բնակարանային ֆոնդի տեխնիկական վիճակի վերաբերյալ տեղեկատվական համակարգ և շրջանառու բնակարանային ֆոնդ ստեղծելու կարգերը.</w:t>
      </w:r>
    </w:p>
    <w:p>
      <w:pPr/>
      <w:r>
        <w:rPr/>
        <w:t xml:space="preserve">22) սահմանում է հողերի օգտագործման սխեմաների մշակման ու հաստատման կարգերը.</w:t>
      </w:r>
    </w:p>
    <w:p>
      <w:pPr/>
      <w:r>
        <w:rPr/>
        <w:t xml:space="preserve">23) հաստատում է քաղաքաշինական ծրագրային փաստաթղթերի և քաղաքաշինական համալիր փորձաքննության հանձնաժողովների ստեղծման և գործունեության կարգերը:»: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</w:t>
      </w:r>
      <w:r>
        <w:rPr/>
        <w:t xml:space="preserve">. Օրենքի 10.1 հոդվածի 3-րդ մասի 5.1 կետը շարադրել հետևյալ խմբագրությամբ.</w:t>
      </w:r>
    </w:p>
    <w:p>
      <w:pPr/>
      <w:r>
        <w:rPr/>
        <w:t xml:space="preserve">«5.1) հաստատում է քաղաքաշինական նորմատիվ-տեխնիկական փաստաթղթերը, սահմանում է դրանց մշակման և հաստատման կարգերը.»,</w:t>
      </w:r>
    </w:p>
    <w:p>
      <w:pPr/>
      <w:r>
        <w:rPr>
          <w:b w:val="1"/>
          <w:bCs w:val="1"/>
        </w:rPr>
        <w:t xml:space="preserve">Հոդված 3</w:t>
      </w:r>
      <w:r>
        <w:rPr/>
        <w:t xml:space="preserve">. Օրենքի 10.1 հոդվածի 16-րդ կետը խմբագրել հետևյալ բովանդակությամբ.</w:t>
      </w:r>
    </w:p>
    <w:p>
      <w:pPr/>
      <w:r>
        <w:rPr/>
        <w:t xml:space="preserve">«16) մշակում  և հաստատում է քաղաքաշինական կադաստրի վարման կարգը և համակարգում է այդ աշխատանքները»: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Օրենքի 10.1 հոդվածի 3-րդ մասը լրացնել 27-40 կետերով</w:t>
      </w:r>
    </w:p>
    <w:p>
      <w:pPr/>
      <w:r>
        <w:rPr/>
        <w:t xml:space="preserve">27) սահմանում է նոր շինարարության, գոյություն ունեցող շենքերի ու շինությունների հիմնանորոգման, վերակառուցման, վերականգնման, ուժեղացման, ընդլայնման, արդիականացման, վերազինման աշխատանքների արժեքի ձևավորման մեթոդաբանությունը (կարգը), գնագոյացման նորմատիվ փաստաթղթերի տեսակները,</w:t>
      </w:r>
    </w:p>
    <w:p>
      <w:pPr/>
      <w:r>
        <w:rPr/>
        <w:t xml:space="preserve">28) հաստատում է շինարարական աշխատանքների կազմակերպման և դրանց նկատմամբ տեխնիկական ու հեղինակային հսկողության ծառայությունների մատուցման կարգերը.</w:t>
      </w:r>
    </w:p>
    <w:p>
      <w:pPr/>
      <w:r>
        <w:rPr/>
        <w:t xml:space="preserve">29) հաստատում է քաղաքաշինական փաստաթղթերի մշակման աշխատանքների արժեքի հաշվարկման կարգը, կառուցվող շենքերի, շինությունների կառուցվածքների և շինարարական աշխատանքների տեսակների արժեքի  խոշորացված ցուցանիշները.</w:t>
      </w:r>
    </w:p>
    <w:p>
      <w:pPr/>
      <w:r>
        <w:rPr/>
        <w:t xml:space="preserve">30) մշակում է քաղաքաշինության գործունեության ապահովման համար անհրաժեշտ մեթոդական ցուցումներ, ուղեցույցներ, ձեռնարկներ և տերմիններ.</w:t>
      </w:r>
    </w:p>
    <w:p>
      <w:pPr/>
      <w:r>
        <w:rPr/>
        <w:t xml:space="preserve">31) մշակում է շենքերի և շինությունների սեյսմակայունության (երկրաշարժադիմացկունության) բարելավման ռազմավարությունը և միջոցառումների ծրագիրը.</w:t>
      </w:r>
    </w:p>
    <w:p>
      <w:pPr/>
      <w:r>
        <w:rPr/>
        <w:t xml:space="preserve">32) մշակում և Կառավարություն է ներկայացնում ինքնակամ կառույցների օրինականացման, տնօրինման և քանդման (ապամոնտաժման) կարգերը.</w:t>
      </w:r>
    </w:p>
    <w:p>
      <w:pPr/>
      <w:r>
        <w:rPr/>
        <w:t xml:space="preserve">33) սահմանում է հաշմանդամություն ունեցող անձանց համար շենքերի ու շինությունների մատչելիությունն ապահովող պայմանները.</w:t>
      </w:r>
    </w:p>
    <w:p>
      <w:pPr/>
      <w:r>
        <w:rPr/>
        <w:t xml:space="preserve">34) հաստատում է քաղաքաշինության բնագավառում լիցենզավորված անձանց կողմից ներկայացվող հաշվետվության և քաղաքաշինության բնագավառի մասնագետների հետ կնքվող աշխատանքային պայմանագրերի օրինակելի ձևերը, մասնագիտական որակավորման թեստավորման հարցաշարերը, հայտարարության տեքստին ներկայացվող պահանջները.</w:t>
      </w:r>
    </w:p>
    <w:p>
      <w:pPr/>
      <w:r>
        <w:rPr/>
        <w:t xml:space="preserve">35) իրականացնում է օրենսդրությամբ սահմանված կարգով քաղաքաշինական գործունեության տեսակներին համապատասխան մասնագիտական գործունեություն իրականացնող մասնագետների գրանցումը.</w:t>
      </w:r>
    </w:p>
    <w:p>
      <w:pPr/>
      <w:r>
        <w:rPr/>
        <w:t xml:space="preserve">36) վարում է քաղաքաշինության բնագավառի լիցենզավորված կազմակերպությունների և մասնագետների  էլեկտրոնային գրանցամատյանները.</w:t>
      </w:r>
    </w:p>
    <w:p>
      <w:pPr/>
      <w:r>
        <w:rPr/>
        <w:t xml:space="preserve">37) առաջարկություն է ներկայացնում բնական և տեխնածին երևույթների հետևանքով քանդված բնակարանային ֆոնդի, ինչպես նաև ոչ հիմնական շինությունների բնակիչների վերաբնակեցման և տարածքների ազատման մոտեցումների և առաջնահերթությունների վերաբերյալ.</w:t>
      </w:r>
    </w:p>
    <w:p>
      <w:pPr/>
      <w:r>
        <w:rPr/>
        <w:t xml:space="preserve">38) մշակում և վարչապետին է ներկայացնում առաջարկություններ՝ ուժեղացման և վերակառուցման (3-րդ աստիճանի վնասվածություն ունեցող) և քանդման ենթակա՝ վթարային (4-րդ աստիճանի վնասվածություն ունեցող) բնակարանային ֆոնդի հիմնախնդիրների կանոնակարգման, այդ ֆոնդից քաղաքացիների վերաբնակեցման, բնակարանային ֆոնդի տեխնիկական վիճակի հետազնությունների անցկացման  և հետազննության արդյունքում տրված եզրակացությունների վարման, բնակարանային ֆոնդի տեխնիկական վիճակի վերաբերյալ տեղեկատվական համակարգ և շրջանառու բնակարանային ֆոնդ ստեղծելու մասին.</w:t>
      </w:r>
    </w:p>
    <w:p>
      <w:pPr/>
      <w:r>
        <w:rPr/>
        <w:t xml:space="preserve">39) հաստատում է բնակելի, հասարակական, արտադրական շենքերի և շինությունների նախագծային փաստաթղթերի կազմը և բովանդակությունը.</w:t>
      </w:r>
    </w:p>
    <w:p>
      <w:pPr/>
      <w:r>
        <w:rPr/>
        <w:t xml:space="preserve">40) մշակում է տեխնիկական վիճակից ելնելով բնակելի, հասարակական և արտադրական շենքերի և շինությունների շահագործման համար ոչ պիտանի ճանաչելու կարգը, միջգերատեսչական հանձնաժողովի որոշման և մասնագիտական եզրակացության օրինակելի ձևերը:»: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5</w:t>
      </w:r>
      <w:r>
        <w:rPr/>
        <w:t xml:space="preserve">. «Քաղաքաշինության մասին» ՀՀ օրենքի 19-րդ հոդվածի «զ)» կետը խմբագրել հետևյալ բովանդակությամբ.</w:t>
      </w:r>
    </w:p>
    <w:p>
      <w:pPr/>
      <w:r>
        <w:rPr/>
        <w:t xml:space="preserve">«զ) միջպետական և հանրապետական նշանակության ավտոմոբիլային ճանապարհներին հարակից տարածքներում.»:</w:t>
      </w:r>
    </w:p>
    <w:p>
      <w:pPr/>
      <w:r>
        <w:rPr>
          <w:b w:val="1"/>
          <w:bCs w:val="1"/>
        </w:rPr>
        <w:t xml:space="preserve">Հոդված 6</w:t>
      </w:r>
      <w:r>
        <w:rPr/>
        <w:t xml:space="preserve">. «Քաղաքաշինության մասին» ՀՀ օրենքի 19-րդ հոդվածի վերջին պարբերությունը խմբագրել հետևյալ բովանդակությամբ.</w:t>
      </w:r>
    </w:p>
    <w:p>
      <w:pPr/>
      <w:r>
        <w:rPr/>
        <w:t xml:space="preserve">«Սույն հոդվածով սահմանված քաղաքաշինական գործունեության հատուկ կարգավորման օբյեկտների պահպանման և առանձնացման գոտիների, դրանց կարգավորման և գործունեության, ինչպես նաև հատուկ կարգավորման օբյեկտների տարածքներում քաղաքաշինական գործունեության իրականացման և նախագծային փաստաթղթերի հաստատման կարգերը սահմանում է Հայաստանի Հանրապետության Կառավարությունը»: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7</w:t>
      </w:r>
      <w:r>
        <w:rPr/>
        <w:t xml:space="preserve">.</w:t>
      </w:r>
    </w:p>
    <w:p>
      <w:pPr/>
      <w:r>
        <w:rPr/>
        <w:t xml:space="preserve">1. Սույն օրենքն ուժի մեջ է մտնում պաշտոնական հրապարակմանը հաջորդող օրվանից:</w:t>
      </w:r>
    </w:p>
    <w:p>
      <w:pPr/>
      <w:r>
        <w:rPr/>
        <w:t xml:space="preserve">2. Կառավարությունն սույն օրենքն ուժի մեջ մտնելուց հետո մեկ տարվա ընթացքում ապահովում է սույն օրենքից բխող որոշումների ընդունումը: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2026-03-31T16:08:34+04:00</dcterms:created>
  <dcterms:modified xsi:type="dcterms:W3CDTF">2026-03-31T16:08:34+04:00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