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ԿՐԹՈՒԹՅԱՆ, ԳԻՏՈՒԹՅԱՆ, ՄՇԱԿՈՒՅԹԻ ԵՎ ՍՊՈՐՏԻ ՆԱԽԱՐԱՐԻ 2021 ԹՎԱԿԱՆԻ ՀՈՒԼԻՍԻ 20-Ի N 54-Ն ՀՐԱՄԱՆՈՒՄ ՓՈՓՈԽՈՒԹՅՈՒՆՆԵՐ ԿԱՏԱՐԵԼՈՒ ՄԱՍԻՆ» ՀԱՅԱՍՏԱՆԻ ՀԱՆՐԱՊԵՏՈՒԹՅԱՆ ԿՐԹՈՒԹՅԱՆ, ԳԻՏՈՒԹՅԱՆ, ՄՇԱԿՈՒՅԹԻ ԵՎ ՍՊՈՐՏԻ ՆԱԽԱՐԱՐԻ ՀՐԱՄԱՆԻ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ԳԻՏՈՒԹՅԱՆ</w:t>
      </w:r>
      <w:r>
        <w:rPr>
          <w:b w:val="1"/>
          <w:bCs w:val="1"/>
        </w:rPr>
        <w:t xml:space="preserve">, ՄՇԱԿՈՒՅԹԻ ԵՎ ՍՊՈՐՏԻ </w:t>
      </w:r>
      <w:r>
        <w:rPr>
          <w:b w:val="1"/>
          <w:bCs w:val="1"/>
        </w:rPr>
        <w:t xml:space="preserve">ՆԱԽԱՐԱՐԻ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</w:t>
      </w:r>
      <w:r>
        <w:rPr>
          <w:b w:val="1"/>
          <w:bCs w:val="1"/>
        </w:rPr>
        <w:t xml:space="preserve">ԼԻՍԻ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54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 Հիմք ընդունելով «Նորմատիվ իրավական ակտերի մասին» օրենքի 33-րդ և 34-րդ հոդվածների պահանջները՝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</w:p>
    <w:p>
      <w:pPr/>
      <w:r>
        <w:rPr/>
        <w:t xml:space="preserve"> </w:t>
      </w:r>
    </w:p>
    <w:p>
      <w:pPr/>
      <w:r>
        <w:rPr/>
        <w:t xml:space="preserve">1.ՀՀ կրթության, գիտության, մշակույթի և սպորտի նախարարի 2021 թվականի հուլիսի 20-ի «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ընդհանուր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մասնագիտացված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ծրագրեր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հաստատությունների</w:t>
      </w:r>
      <w:r>
        <w:rPr>
          <w:b w:val="1"/>
          <w:bCs w:val="1"/>
        </w:rPr>
        <w:t xml:space="preserve"> 2021-2022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2022-2023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տարիների</w:t>
      </w:r>
      <w:r>
        <w:rPr/>
        <w:t xml:space="preserve"> </w:t>
      </w:r>
      <w:r>
        <w:rPr>
          <w:b w:val="1"/>
          <w:bCs w:val="1"/>
        </w:rPr>
        <w:t xml:space="preserve">օրինակելի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պլանները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/>
        <w:t xml:space="preserve">» N 54-Ն հրամանի հավելվածում կատարել հետևյալ փոփոխությունները.</w:t>
      </w:r>
    </w:p>
    <w:p>
      <w:pPr/>
      <w:r>
        <w:rPr/>
        <w:t xml:space="preserve">1) 2-րդ գլխի 43-րդ կետը շարադրել հետևյալ խմբագրությամբ.</w:t>
      </w:r>
    </w:p>
    <w:p>
      <w:pPr/>
      <w:r>
        <w:rPr/>
        <w:t xml:space="preserve">«43. 6-րդ դասարանում «Կերպարվեստ» ուսումնական առարկան դասավանդվում է առաջին, իսկ «Երաժշտություն» ուսումնական առարկան՝ երկրորդ կիսամյակում: 7-րդ դասարանում «Երաժշտություն» ուսումնական առարկան դասավանդվում է առաջին, իսկ «Կերպարվեստ» ուսումնական առարկան՝ երկրորդ կիսամյակում»:</w:t>
      </w:r>
    </w:p>
    <w:p>
      <w:pPr/>
      <w:r>
        <w:rPr/>
        <w:t xml:space="preserve">2) 3-րդ գլխի աղյուսակ 16-ը շարադրել հետևյալ խմբագրությամբ.</w:t>
      </w:r>
    </w:p>
    <w:p>
      <w:pPr/>
      <w:r>
        <w:rPr>
          <w:b w:val="1"/>
          <w:bCs w:val="1"/>
        </w:rPr>
        <w:t xml:space="preserve">       «Աղյուսակ 16</w:t>
      </w:r>
    </w:p>
    <w:p>
      <w:pPr/>
      <w:r>
        <w:rPr>
          <w:b w:val="1"/>
          <w:bCs w:val="1"/>
        </w:rPr>
        <w:t xml:space="preserve">Տնային և հիվանդանոցային պայմաններում երկարատև բուժվող միջին, ծանր և խորը մտավոր ֆունկցիայի խանգարում ունեցող երեխաների անհատական ուսուցման ուսումնական պլան</w:t>
      </w:r>
    </w:p>
    <w:tbl>
      <w:tblGrid>
        <w:gridCol w:w="10485" w:type="dxa"/>
        <w:gridCol w:w="10485" w:type="dxa"/>
        <w:gridCol w:w="10485" w:type="dxa"/>
        <w:gridCol w:w="10485" w:type="dxa"/>
        <w:gridCol w:w="10485" w:type="dxa"/>
        <w:gridCol w:w="10485" w:type="dxa"/>
        <w:gridCol w:w="10485" w:type="dxa"/>
        <w:gridCol w:w="10485" w:type="dxa"/>
        <w:gridCol w:w="645" w:type="dxa"/>
        <w:gridCol w:w="495" w:type="dxa"/>
        <w:gridCol w:w="540" w:type="dxa"/>
        <w:gridCol w:w="720" w:type="dxa"/>
        <w:gridCol w:w="1845" w:type="dxa"/>
      </w:tblGrid>
      <w:tblPr>
        <w:tblW w:w="10485" w:type="dxa"/>
        <w:tblLayout w:type="autofit"/>
      </w:tblPr>
      <w:tr>
        <w:trPr/>
        <w:tc>
          <w:tcPr>
            <w:tcW w:w="10485" w:type="dxa"/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Ուսումնական առարկաներ</w:t>
            </w:r>
          </w:p>
        </w:tc>
        <w:tc>
          <w:tcPr>
            <w:tcW w:w="7230" w:type="dxa"/>
            <w:gridSpan w:val="12"/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Շաբաթական ժամերի քանակը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IV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VI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VII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VIII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IX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X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XI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XII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Լեզու և ընթերցանություն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Մաթեմատիկա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Ես և շրջակա աշխարհը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Տեխնոլոգիա (Ձեռքի աշխատանք)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Բնագիտություն 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/>
              <w:t xml:space="preserve">Հայրենագիտություն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48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48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/>
        <w:t xml:space="preserve">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2026-04-01T23:30:33+04:00</dcterms:created>
  <dcterms:modified xsi:type="dcterms:W3CDTF">2026-04-01T23:30:33+04:00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