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հոկտեմբերի 15-ի N 1200 – 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                                  2021 թվականի    N     - Ն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 ԹՎԱԿԱՆԻ </w:t>
      </w:r>
    </w:p>
    <w:p>
      <w:pPr>
        <w:jc w:val="center"/>
      </w:pPr>
      <w:r>
        <w:rPr>
          <w:b w:val="1"/>
          <w:bCs w:val="1"/>
        </w:rPr>
        <w:t xml:space="preserve">ՀՈԿՏԵՄԲԵՐ</w:t>
      </w:r>
      <w:r>
        <w:rPr>
          <w:b w:val="1"/>
          <w:bCs w:val="1"/>
        </w:rPr>
        <w:t xml:space="preserve">Ի 15-Ի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1200-Ն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և 34-րդ հոդվածներով՝ Հայաստանի Հանրապետության կառավարությունը որոշում է․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15-ի Հայաստանի Հանրապետությունում մարդկանց թրաֆիքինգի և շահագործման զոհերի նույնացման հանձնաժողովի աշխատակարգը, մարդկանց թրաֆիքինգի և շահագործման զոհերի նույնացման հանձնաժողովի կողմից Հայաստանի Հանրապետությունում մարդկանց թրաֆիքինգի և շահագործման դեմ պայքարի հարցերով խորհուրդ ներկայացվող հաշվետվության ձևը սահմանելու մասին N 1200 – Ն որոշման (այսուհետ՝ որոշում) մեջ կատարել հետևյալ փոփոխությունները և լրացումները․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Որոշման N 1 հավելվածում՝</w:t>
      </w:r>
    </w:p>
    <w:p>
      <w:pPr/>
      <w:r>
        <w:rPr/>
        <w:t xml:space="preserve"> </w:t>
      </w:r>
    </w:p>
    <w:p>
      <w:pPr/>
      <w:r>
        <w:rPr/>
        <w:t xml:space="preserve">ա. 3-րդ կետը լրացնել 7-րդ, 8-րդ և 9-րդ ենթակետերով հետևյալ բովանդակությամբ՝</w:t>
      </w:r>
    </w:p>
    <w:p>
      <w:pPr/>
      <w:r>
        <w:rPr/>
        <w:t xml:space="preserve">«7) իր գործառույթների իրականացման արդյունքում վերհանված խնդիրների, դրանց լուծման ուղղությամբ ձեռնարկվող միջոցների վերաբերյալ՝ Հայաստանի  Հանրապետությունում մարդկանց թրաֆիքինգի և շահագործման դեմ պայքարի հարցերով խորհրդին է ներկայացնում առաջարկներ.</w:t>
      </w:r>
    </w:p>
    <w:p>
      <w:pPr>
        <w:jc w:val="both"/>
      </w:pPr>
      <w:r>
        <w:rPr/>
        <w:t xml:space="preserve">8) յուրաքանչյուր եռամսյակին հաջորդող նիստում ծանոթանում է տվյալ տարվա հաշվետու ժամանակահատվածում մարդկանց թրաֆիքինգի և շահագործման զոհերին կամ հատուկ կատեգորիայի զոհերին կամ հավանական զոհերին տրամադրած  աջակցության և պաշտպանության գործընթացին.</w:t>
      </w:r>
    </w:p>
    <w:p>
      <w:pPr>
        <w:jc w:val="both"/>
      </w:pPr>
      <w:r>
        <w:rPr/>
        <w:t xml:space="preserve">9) անհրաժեշտության դեպքում այցելություններ է կատարում թրաֆիքինգի զոհերի համար թիրախային  համարվող վայրեր՝ (հատուկ դպրոցներ, հոգեբուժարաններ, մանկատներ և այլ խնամքի հաստատություններում) ուսումնասիրություններ և իրազեկման աշխատանքներ իրականցնելու, ինչպես նաև այդ վայրերում արտագնա նիստեր կազմակերպելու համար։»</w:t>
      </w:r>
    </w:p>
    <w:p>
      <w:pPr>
        <w:jc w:val="both"/>
      </w:pPr>
      <w:r>
        <w:rPr/>
        <w:t xml:space="preserve">բ. 8-րդ կետը շարադրել նոր խմբագրությամբ հետևյալ բովանդակությամբ՝</w:t>
      </w:r>
    </w:p>
    <w:p>
      <w:pPr>
        <w:jc w:val="both"/>
      </w:pPr>
      <w:r>
        <w:rPr/>
        <w:t xml:space="preserve">  8․ Հանձնաժողովի նիստին, ըստ անհրաժեշտության, խորհրդատուի կարգավիճակով կարող են մասնակցել պետական այլ շահագրգիռ մարմինների պատասխանատու աշխատակիցներ,  հոգեբաններ, մանկավարժներ և այլ մասնագետներ: </w:t>
      </w:r>
    </w:p>
    <w:p>
      <w:pPr/>
      <w:r>
        <w:rPr/>
        <w:t xml:space="preserve">գ. 11-րդ կետը շարադրել նոր խմբագրությամբ հետևյալ բովանդակությամբ՝ </w:t>
      </w:r>
    </w:p>
    <w:p>
      <w:pPr>
        <w:jc w:val="both"/>
      </w:pPr>
      <w:r>
        <w:rPr/>
        <w:t xml:space="preserve">«11. Հանձնաժողովի որոշումներն ստորագրվում են հանձնաժողովի նախագահի և անդամների կողմից: Հանձնաժողովի անդամների մեծամասնության համաձայնության դեպքում, ըստ անհրաժեշտության,  մարդուն զոհի կամ հատուկ կատեգորիայի զոհի կարգավիճակ տալու մասին հանձնաժողովի որոշման քաղվածքի մեկական օրինակ կարող է տրամադրվել նախանույնացումն իրականացրած իրավասու մարմնին,  նույնացված զոհին կամ հատուկ կատեգորիայի զոհին կամ նրա օրինական ներկայացուցչին։ Հանձնաժողովի քարտուղարը քաղվածքը հանձնելու մասին կատարում է համապատասխան գրառում հատուկ մատյանում` նշելով ստացողի անունը, ազգանունը, նրան աջակցող կազմակերպության անվանումը, ստանալու ամսաթիվը, ամիսը, տարեթիվը: Գրառման դիմաց դրվում է ստացողի ստորագրությունը:  Քաղվածքի օրինակելի ձևը և մատյանի ձևը հաստատվում է հանձնաժողովի կողմից՝ հանձնաժողովի անդամների ձայների մեծամասնությամբ։ Հանձնաժողովի մասնակիցների առարկությունների և առաջարկությունների մասին հայտարարությունները, եթե այդպիսիք եղել են, արտացոլվում են նիստի արձանագրությունում։» </w:t>
      </w:r>
    </w:p>
    <w:p>
      <w:pPr/>
      <w:r>
        <w:rPr/>
        <w:t xml:space="preserve">դ. 13-րդ կետի 2-րդ  ենթակետը շարադրել նոր խմբագրությամբ հետևյալ բովանդակությամբ՝</w:t>
      </w:r>
    </w:p>
    <w:p>
      <w:pPr/>
      <w:r>
        <w:rPr/>
        <w:t xml:space="preserve">«2) իր կամ հանձնաժողովի անդամների նախաձեռնությամբ կամ իրավասու մարմինների միջնորդությունների հիման վրա հանձնաժողովի նիստ հրավիրելու անհրաժեշտության մասին իրազեկում ստանալուց հետո հինգ օրվա ընթացքում հրավիրում է հանձնաժողովի նիստ.» </w:t>
      </w:r>
    </w:p>
    <w:p>
      <w:pPr/>
      <w:r>
        <w:rPr/>
        <w:t xml:space="preserve">ե. 13-րդ կետի 7-րդ  ենթակետը շարադրել նոր խմբագրությամբ հետևյալ բովանդակությամբ՝</w:t>
      </w:r>
    </w:p>
    <w:p>
      <w:pPr/>
      <w:r>
        <w:rPr/>
        <w:t xml:space="preserve">«7) իրավասու մարմիններից ստանում է տեղեկատվություն և յուրաքանչյուր կիսամյակ, մինչև հաջորդող ամսվա 15-ը Մարդկանց թրաֆիքինգի և շահագործման դեմ պայքարի հարցերով խորհուրդ է ներկայացնում սույն որոշման N 2 հավելվածով նախատեսվող հաշվետվությունը.» </w:t>
      </w:r>
    </w:p>
    <w:p>
      <w:pPr/>
      <w:r>
        <w:rPr/>
        <w:t xml:space="preserve">զ․ 18-րդ կետը ճանաչել ուժը կորցրած։ </w:t>
      </w:r>
    </w:p>
    <w:p>
      <w:pPr/>
      <w:r>
        <w:rPr/>
        <w:t xml:space="preserve">2) Որոշման N 2 հավելվածը  շարադրել նոր խմբագրությամբ՝ համաձայն հավելվածի։</w:t>
      </w:r>
    </w:p>
    <w:p>
      <w:pPr>
        <w:jc w:val="end"/>
      </w:pPr>
      <w:r>
        <w:rPr/>
        <w:t xml:space="preserve"> Հավելված</w:t>
      </w:r>
    </w:p>
    <w:p>
      <w:pPr>
        <w:jc w:val="end"/>
      </w:pPr>
      <w:r>
        <w:rPr/>
        <w:t xml:space="preserve">ՀՀ կառավարության 2021 թվականի</w:t>
      </w:r>
    </w:p>
    <w:p>
      <w:pPr>
        <w:jc w:val="end"/>
      </w:pPr>
      <w:r>
        <w:rPr/>
        <w:t xml:space="preserve">------------------- ի</w:t>
      </w:r>
    </w:p>
    <w:p>
      <w:pPr>
        <w:jc w:val="end"/>
      </w:pPr>
      <w:r>
        <w:rPr/>
        <w:t xml:space="preserve">N ------------------- 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/>
        <w:t xml:space="preserve">Հավելված N 2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2015 թվականի հոկտեմբերի 15-ի</w:t>
      </w:r>
    </w:p>
    <w:p>
      <w:pPr>
        <w:jc w:val="end"/>
      </w:pPr>
      <w:r>
        <w:rPr/>
        <w:t xml:space="preserve">N 1200-Ն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ՁԵՎ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ՄԱՐԴԿԱՆՑ ԹՐԱՖԻՔԻՆԳԻ ԵՎ ՇԱՀԱԳՈՐԾՄԱՆ ԶՈՀԵՐԻ ՆՈՒՅՆԱՑՄԱՆ ՀԱՆՁՆԱԺՈՂՈՎԻ ԿՈՂՄԻՑ ՀԱՅԱՍՏԱՆԻ ՀԱՆՐԱՊԵՏՈՒԹՅՈՒՆՈՒՄ ՄԱՐԴԿԱՆՑ ԹՐԱՖԻՔԻՆԳԻ ԵՎ ՇԱՀԱԳՈՐԾՄԱՆ ԴԵՄ ՊԱՅՔԱՐԻ ՀԱՐՑԵՐՈՎ ԽՈՐՀՈՒՐԴ ՆԵՐԿԱՅԱՑՎՈՂ ՀԱՇՎԵՏՎՈՒԹՅԱՆ</w:t>
      </w:r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ԸՆԴՀԱՆՈՒՐ ՆԿԱՐԱԳՐՈՒԹՅՈՒՆԸ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հաշվետու ժամանակահատվածում նույնացման ներկայացված հավանական զոհերի թիվը.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հաշվետու ժամանակահատվածում նույնացված զոհերի՝</w:t>
      </w:r>
    </w:p>
    <w:p>
      <w:pPr/>
      <w:r>
        <w:rPr/>
        <w:t xml:space="preserve">ա.թիվը,</w:t>
      </w:r>
    </w:p>
    <w:p>
      <w:pPr/>
      <w:r>
        <w:rPr/>
        <w:t xml:space="preserve">բ.սեռը,</w:t>
      </w:r>
    </w:p>
    <w:p>
      <w:pPr/>
      <w:r>
        <w:rPr/>
        <w:t xml:space="preserve">գ.տարիքը,</w:t>
      </w:r>
    </w:p>
    <w:p>
      <w:pPr/>
      <w:r>
        <w:rPr/>
        <w:t xml:space="preserve">դ.քաղաքացիությունը,</w:t>
      </w:r>
    </w:p>
    <w:p>
      <w:pPr/>
      <w:r>
        <w:rPr/>
        <w:t xml:space="preserve">ե.բնակության վայրը,</w:t>
      </w:r>
    </w:p>
    <w:p>
      <w:pPr/>
      <w:r>
        <w:rPr/>
        <w:t xml:space="preserve">զ.թրաֆիքինգի/շահագործման տեսակը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աջակցություն ստանալու նպատակով՝ ուղղորդված հավանական զոհերի, զոհերի/հատուկ կատեգորիայի զոհերի թիվը, օրենսդրությամբ սահմանված կարգով նրանց տրամադրված աջակցության տեսակները (պետական և ոչ պետական)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հավանական զոհին/զոհերին հայտաբերող կառույցը/կառույցները (կազմակերպություն/ները).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պաշտպանության համար ներկայացված միջնորդությունները և միջնորդության հիման վրա կայացրած որոշումները.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հաշվետու ժամանակահատվածում զոհերին և հատուկ կատեգորիայի զոհերին տրամադրվող սոցիալ-հոգեբանական վերականգնողական ծառայության շրջանակում կատարված ծախսերի վերաբերյալ ամփոփ հաշվետվությունը․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EE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D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4A7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25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C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F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A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4A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A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2026-04-04T01:17:34+04:00</dcterms:created>
  <dcterms:modified xsi:type="dcterms:W3CDTF">2026-04-04T01:17:34+04:00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