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ՀԱՅԱՍՏԱՆԻ ՀԱՆՐԱՊԵՏՈՒԹՅԱՆ ՕՐԵՆՔՈՒՄ ԼՐԱՑՈՒՄ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«ԼԻՑԵՆԶԱՎՈՐՄԱՆ ՄԱՍԻՆ»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  «Լիցենզավորման մասին» Հայաստանի Հանրապետության 2001 թվականի մայիսի 30-ի ՀՕ-193 օրենքի (այսուհետ՝ Օրենք) 7-րդ հոդվածում լրացնել հետևյալ խմբագրությամբ նոր 6․2 մաս.</w:t>
      </w:r>
    </w:p>
    <w:p>
      <w:pPr/>
      <w:r>
        <w:rPr/>
        <w:t xml:space="preserve">«6․2 Օտարերկրյա իրավաբանական անձինք Հայաստանի Հանրապետությունում համապատասխան լիցենզավորող մարմնի որոշմամբ կարող են իրականացնել սույն օրենքով նախատեսված գործունեության իրականացման վայրի պահանջ չնախատեսող լիցենզավորման ենթակա գործունեություն օտարերկրյա պետությունների տված համապատասխան լիցենզիայի/թույլտվության առկայության դեպքում։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հրապարակման օրվան հաջորդող տասներորդ օրը: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2026-04-01T11:46:46+04:00</dcterms:created>
  <dcterms:modified xsi:type="dcterms:W3CDTF">2026-04-01T11:46:46+04:00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