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ՊԵՏԱԿԱՆ ԵՎ ՀԱՄԱՅՆՔԱՅԻՆ ՆԱԽԱԴՊՐՈՑԱԿԱՆ ՈՒՍՈՒՄՆԱԿԱՆ ՀԱՍՏԱՏՈՒԹՅՈՒՆՆԵՐԻ ՎԱՐՉԱԿԱՆ, ՄԱՆԿԱՎԱՐԺԱԿԱՆ ԵՎ ՈՒՍՈՒՄՆԱՕԺԱՆԴԱԿ ԿԱԶՄԻ ՎԱՐՁԱՏՐՈՒԹՅԱՆ ԽՄԲԵՐԻ ԴԱՍԱԿԱՐԳՄԱՆ ՉԱՓԱՆԻՇՆԵՐԸ ԵՎ ԳՈՐԾԱԿԻՑՆԵՐԸ ՍԱՀՄԱՆԵԼՈՒ ՄԱՍԻՆ</w:t>
      </w:r>
      <w:bookmarkEnd w:id="0"/>
    </w:p>
    <w:p>
      <w:pPr>
        <w:pStyle w:val="Heading4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«_____» 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  N 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ԵՎ ՀԱՄԱՅՆՔԱՅԻՆ ՆԱԽԱԴՊՐՈՑԱԿԱՆ ՈՒՍՈՒՄՆԱԿԱՆ ՀԱՍՏԱՏՈՒԹՅՈՒՆՆԵՐԻ ՎԱՐՉԱԿԱՆ, ՄԱՆԿԱՎԱՐԺԱԿԱՆ ԵՎ ՈՒՍՈՒՄՆԱՕԺԱՆԴԱԿ ԿԱԶՄԻ ՎԱՐՁԱՏՐՈՒԹՅԱՆ ԽՄԲԵՐԻ ԴԱՍԱԿԱՐԳՄԱՆ ՉԱՓԱՆԻՇՆԵՐԸ</w:t>
      </w:r>
      <w:r>
        <w:rPr>
          <w:b w:val="1"/>
          <w:bCs w:val="1"/>
        </w:rPr>
        <w:t xml:space="preserve"> ԵՎ ԳՈՐԾԱԿԻՑՆԵՐԸ</w:t>
      </w:r>
      <w:r>
        <w:rPr/>
        <w:t xml:space="preserve"> </w:t>
      </w:r>
      <w:r>
        <w:rPr>
          <w:b w:val="1"/>
          <w:bCs w:val="1"/>
        </w:rPr>
        <w:t xml:space="preserve">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«Նախադպրոցական կրթության մասին» Հայաստանի Հանրապետության օրենքի 23-րդ հոդվածի 1-ին մասի 8-րդ և 9-րդ կետերով՝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Սահմանել պետական և համայնքային նախադպրոցական ուսումնական հաստատությունների վարչական, մանկավարժական և ուսումնաօժանդակ կազմի վարձատրության խմբերի դասակարգման չափանիշները և գործակիցները՝ համաձայն հավելվածի:</w:t>
      </w:r>
    </w:p>
    <w:p>
      <w:pPr>
        <w:numPr>
          <w:ilvl w:val="0"/>
          <w:numId w:val="2"/>
        </w:numPr>
      </w:pPr>
      <w:r>
        <w:rPr/>
        <w:t xml:space="preserve">2. Սահմանել, որ սույն որոշման 1-ին կետով սահմանվող վարձատրության խմբերի դասակարգման չափանիշները և գործակիցները համայնքային համայնքային նախադպրոցական ուսումնական հաստատությունների վարչական, մանկավարժական և ուսումնաօժանդակ կազմի համար ունեն կողմնորոշիչ բնույթ։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հա­ջորդող օրվանից: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2021 թվականի</w:t>
      </w:r>
      <w:br/>
      <w:r>
        <w:rPr/>
        <w:t xml:space="preserve"> ---------------- -----------N --------------Ն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ՉԱՓԱՆԻՇՆԵՐ ԵՎ ԳՈՐԾԱԿԻՑՆԵՐ</w:t>
      </w:r>
    </w:p>
    <w:p>
      <w:pPr>
        <w:jc w:val="center"/>
      </w:pPr>
      <w:r>
        <w:rPr>
          <w:b w:val="1"/>
          <w:bCs w:val="1"/>
        </w:rPr>
        <w:t xml:space="preserve">ՊԵՏԱԿԱՆ ԵՎ ՀԱՄԱՅՆՔԱՅԻՆ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ՆԱԽԱԴՊՐՈՑԱԿԱՆ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ՈՒՍՈՒՄՆԱԿԱՆ ՀԱՍՏԱՏՈՒԹՅՈՒՆՆԵՐԻ ՎԱՐՉԱԿԱՆ, ՄԱՆԿԱՎԱՐԺԱԿԱՆ ԵՎ ՈՒՍՈՒՄՆԱՕԺԱՆԴԱԿ ԿԱԶՄԻ ՎԱՐՁԱՏՐՈՒԹՅԱՆ ԽՄԲԵՐԻ ԴԱՍԱԿԱՐԳՄԱՆ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Սույնով սահմանվում է պետական և համայնքային նախադպրոցական ուսումնական հաստատությունների (այսուհետ` հաստատություն) վարչական, մանկավարժական և ուսումնաօժանդակ կազմի վարձատրության խմբերի դասակարգման չափանիշները։</w:t>
      </w:r>
    </w:p>
    <w:p>
      <w:pPr>
        <w:numPr>
          <w:ilvl w:val="0"/>
          <w:numId w:val="3"/>
        </w:numPr>
      </w:pPr>
      <w:r>
        <w:rPr/>
        <w:t xml:space="preserve">Հաստատության վարչական, մանկավարժական և ուսումնաօժանդակ կազմի վարձատրության խմբերը դասակարգվում են ըստ հետևյալ չափանիշների.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վարչական կազմի համար.</w:t>
      </w:r>
    </w:p>
    <w:tbl>
      <w:tblGrid>
        <w:gridCol w:w="495" w:type="dxa"/>
        <w:gridCol w:w="3480" w:type="dxa"/>
        <w:gridCol w:w="780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1140" w:type="dxa"/>
      </w:tblGrid>
      <w:tblPr>
        <w:tblW w:w="15240" w:type="dxa"/>
        <w:tblLayout w:type="autofit"/>
      </w:tblPr>
      <w:tr>
        <w:trPr/>
        <w:tc>
          <w:tcPr>
            <w:tcW w:w="49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285" w:type="dxa"/>
            <w:gridSpan w:val="11"/>
            <w:noWrap/>
          </w:tcPr>
          <w:p>
            <w:pPr/>
            <w:r>
              <w:rPr/>
              <w:t xml:space="preserve">Հաստիքային միավորների քանակը՝ կախված խմբերի թվից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վարձատրության խումբը</w:t>
            </w:r>
          </w:p>
        </w:tc>
      </w:tr>
      <w:tr>
        <w:trPr/>
        <w:tc>
          <w:tcPr>
            <w:tcW w:w="3480" w:type="dxa"/>
            <w:noWrap/>
          </w:tcPr>
          <w:p>
            <w:pPr/>
            <w:r>
              <w:rPr/>
              <w:t xml:space="preserve">Պաշտոնի անվանումը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10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11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12 խումբ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գլխավոր հաշվապահ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0․75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0․75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տնտեսվար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0․75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0․75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գործավար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շեֆ խոհարար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խոհարար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խոհարարի օգնական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օժանդակ բանվոր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խոհնոցի լվացարար (շուրջօրյա հաճախում ունեցող մանկապարտեզում)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0.75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լվացարար (կահավորված լվացքատան առկայության դեպքում) 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հավաքարար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հնոցապան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ինքնուրույն կենտրոնական ջեռուցում (ջրի, գազի, գոլորշու) ունեցող մանկապարտեզներում ջեռուցման սեզոնում սահմանվում է հնոցապանի հաստիք, յուրաքանչյուր հերթափոխի համար մեկ դրույքի հաշվով: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փականագործ-էլեկտրամոնտյոր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կենտրոնացված ջերմամատակարարման (ՋԷԿ) դեպքում ջերմային կետ կամ էլևատոր ունեցող մանկապարտեզներում սահմանվում է փականագործ-էլեկտրամոնտյորի մեկ հաստիք, իսկ բոյլերի և պոմպի դեպքում, երբ պահանջվում է շուրջօրյա հերթապահություն, սահմանվում է փականագործ-էլեկտրամոնտյորի հաստիք, յուրաքանչյուր հերթափոխի համար մեկ միավորի հաշվով,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փականագործ-էլեկտրամոնտյոր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սառնարանային սարքավորում, էլեկտրասալիկ և այլ էլեկտրական ջեռուցման սարքավորումների առկայության դեպքում 4 և ավելի խումբ ունեցող մանկապարտեզներում (եթե հաստիքներում չի նախատեսված փականագործ-էլեկտրամոնտյորի հաստիք) սահմանվում է 0,5 միավոր փականագործ-էլեկտրամոնտյորի հաստիք,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դռնապան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ինքնուրույն շենք ու երկու և ավելի խումբ ունեցող մանկապարտեզներում սահմանվում է դռնապանի հաստիք. դռնապանի հաստիքը սահմանվում է 1 միավոր, ինչպես նաև 2000մ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 -ից ավելի յուրաքանրյուր հաջորդ 2000մ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 օգտագործվող տարածքի համար` ևս 0,5 միավոր,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այգեպան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մրգի այգի կամ դեկորատիվ տնկիներ ունեցող 0,5 հա մակերեսից ոչ պակաս դեկորատիվ բուսականությամբ հողամաս ունեցող մանկապարտեզներում սահմանվում է այգեպանի հաստիք՝ 1 միավոր, ինչպես նաև 0,5 հա -ից ավելի յուրաքանրյուր հաջորդ 0,5 հա հողամասի համար` ևս 0,5 միավոր,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պահակ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պահակի հաստիքը սահմանվում է օրենքով սահմանված կարգով,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480" w:type="dxa"/>
            <w:noWrap/>
          </w:tcPr>
          <w:p>
            <w:pPr/>
            <w:r>
              <w:rPr/>
              <w:t xml:space="preserve">ավտովարորդ</w:t>
            </w:r>
          </w:p>
        </w:tc>
        <w:tc>
          <w:tcPr>
            <w:tcW w:w="10140" w:type="dxa"/>
            <w:gridSpan w:val="12"/>
            <w:noWrap/>
          </w:tcPr>
          <w:p>
            <w:pPr/>
            <w:r>
              <w:rPr/>
              <w:t xml:space="preserve">Ավտովարորդի հաստիքային 1 միավոր կարող է սահմանվել ավտոտրանսպորտի առկայության դեպքում։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2) մանկավարժական կազմի համար․</w:t>
      </w:r>
    </w:p>
    <w:tbl>
      <w:tblGrid>
        <w:gridCol w:w="735" w:type="dxa"/>
        <w:gridCol w:w="3810" w:type="dxa"/>
        <w:gridCol w:w="765" w:type="dxa"/>
        <w:gridCol w:w="780" w:type="dxa"/>
        <w:gridCol w:w="855" w:type="dxa"/>
        <w:gridCol w:w="765" w:type="dxa"/>
        <w:gridCol w:w="795" w:type="dxa"/>
        <w:gridCol w:w="765" w:type="dxa"/>
        <w:gridCol w:w="795" w:type="dxa"/>
        <w:gridCol w:w="765" w:type="dxa"/>
        <w:gridCol w:w="795" w:type="dxa"/>
        <w:gridCol w:w="765" w:type="dxa"/>
        <w:gridCol w:w="795" w:type="dxa"/>
        <w:gridCol w:w="855" w:type="dxa"/>
        <w:gridCol w:w="1275" w:type="dxa"/>
      </w:tblGrid>
      <w:tblPr>
        <w:tblW w:w="15315" w:type="dxa"/>
        <w:tblLayout w:type="autofit"/>
      </w:tblPr>
      <w:tr>
        <w:trPr/>
        <w:tc>
          <w:tcPr>
            <w:tcW w:w="73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40" w:type="dxa"/>
            <w:gridSpan w:val="11"/>
            <w:noWrap/>
          </w:tcPr>
          <w:p>
            <w:pPr/>
            <w:r>
              <w:rPr/>
              <w:t xml:space="preserve">Հաստիքային միավորների քանակը՝ կախված խմբերի թվից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վարձատրության խումբը</w:t>
            </w:r>
          </w:p>
        </w:tc>
      </w:tr>
      <w:tr>
        <w:trPr/>
        <w:tc>
          <w:tcPr>
            <w:tcW w:w="3810" w:type="dxa"/>
            <w:noWrap/>
          </w:tcPr>
          <w:p>
            <w:pPr/>
            <w:r>
              <w:rPr/>
              <w:t xml:space="preserve">Պաշտոնի անվանումը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 խումբ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խումբ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4 խումբ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 խումբ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6 խումբ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 խումբ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8 խումբ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խումբ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10 խումբ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11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12 խումբ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տնօրեն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մեթոդիստ՝ տնօրենի ուսումնական գծով տեղակալ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0.75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0.75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1.25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1.25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դաստիարակ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1.17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2.34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3.51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4.68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5.85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7.02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8.19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9.36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11.70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12.87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14.04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դաստիարակ (մսուրային խմբեր (Վաղ տարիքի առաջին, երկրորդ, կրտսեր տարիքի առաջին խմբեր))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2.8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5.6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7.0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8.4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9.8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11.2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12.6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14.0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15.4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16.8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 երաժշտության դաստիարակ (երաժշտական ղեկավար)</w:t>
            </w:r>
          </w:p>
        </w:tc>
        <w:tc>
          <w:tcPr>
            <w:tcW w:w="9495" w:type="dxa"/>
            <w:gridSpan w:val="12"/>
            <w:noWrap/>
          </w:tcPr>
          <w:p>
            <w:pPr/>
            <w:r>
              <w:rPr/>
              <w:t xml:space="preserve">2 տարեկան և ավագ հասակի երեխաների յուրաքանչյուր խմբին 0,25 դրույք, սակայն ոչ ավելի, քան 2 դրույքը,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Ֆիզկուլտուրայի հրահանգիչ</w:t>
            </w:r>
          </w:p>
        </w:tc>
        <w:tc>
          <w:tcPr>
            <w:tcW w:w="9495" w:type="dxa"/>
            <w:gridSpan w:val="12"/>
            <w:noWrap/>
          </w:tcPr>
          <w:p>
            <w:pPr/>
            <w:r>
              <w:rPr/>
              <w:t xml:space="preserve">4 տարեկան և ավագ նախադպրոցական հասակի երեխաների յուրաքանչյուր խմբին՝ 0,25 դրույք, սակայն ոչ ավելի, քան 2 դրույքը,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հատուկ մանկավարժ</w:t>
            </w:r>
          </w:p>
        </w:tc>
        <w:tc>
          <w:tcPr>
            <w:tcW w:w="9495" w:type="dxa"/>
            <w:gridSpan w:val="12"/>
            <w:noWrap/>
          </w:tcPr>
          <w:p>
            <w:pPr/>
            <w:r>
              <w:rPr/>
              <w:t xml:space="preserve">կրթության առանձնահատուկ պայմանների կարիք ունեցող մինչև 5 երեխայի առկայության դեպքում՝ 2  հաստիքային միավոր, կրթության առանձնահատուկ պայմանների կարիք ունեցող 5-ից մինչև 10 երեխայի առկայության դեպքում՝ 3  հաստիքային միավոր, կրթության առանձնահատուկ պայմանների կարիք ունեցող 10 և ավելի երեխայի առկայության դեպքում՝ 4  հաստիքային միավոր  (հատուկ մանկավարժի, լոգոպեդի, սոցիալական մանկավարժի և հոգեբանի հաստիքների ընտրությունը կատարում է հաստատությունը՝ հաշվի առնելով հատկացված հաստիքների քանակը),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լոգոպեդ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սոցիալական մանկավարժ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հոգեբան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պարուսույց` պարի ղեկավար</w:t>
            </w:r>
          </w:p>
        </w:tc>
        <w:tc>
          <w:tcPr>
            <w:tcW w:w="9495" w:type="dxa"/>
            <w:gridSpan w:val="12"/>
            <w:noWrap/>
          </w:tcPr>
          <w:p>
            <w:pPr/>
            <w:r>
              <w:rPr/>
              <w:t xml:space="preserve"> 4 տարեկան և ավագ նախադպրոցական հասակի երեխաների յուրաքանչյուր խմբին՝ 0,25 դրույք, սակայն ոչ ավելի, քան 2 դրույքը  (հիմնադրի կողմից լրացուցիչ բյուջետային միջոցների կամ հաստատության արտաբյուջեի առկայության դեպքում),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7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լրացուցիչ կրթական ծառայությունների մանկավարժ (ուսուցիչ, խմբավար)</w:t>
            </w:r>
          </w:p>
        </w:tc>
        <w:tc>
          <w:tcPr>
            <w:tcW w:w="9495" w:type="dxa"/>
            <w:gridSpan w:val="12"/>
            <w:noWrap/>
          </w:tcPr>
          <w:p>
            <w:pPr/>
            <w:r>
              <w:rPr/>
              <w:t xml:space="preserve"> 5 տարեկան և ավագ նախադպրոցական հասակի երեխաների յուրաքանչյուր խմբին՝ 0,25 դրույք, սակայն ոչ ավելի, քան 2 դրույքը  (հիմնադրի կողմից լրացուցիչ բյուջետային միջոցների կամ հաստատության արտաբյուջեի առկայության դեպքում):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3) ուսումնաօժանդակ կազմի համար.</w:t>
      </w:r>
    </w:p>
    <w:tbl>
      <w:tblGrid>
        <w:gridCol w:w="480" w:type="dxa"/>
        <w:gridCol w:w="3495" w:type="dxa"/>
        <w:gridCol w:w="810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855" w:type="dxa"/>
        <w:gridCol w:w="1275" w:type="dxa"/>
      </w:tblGrid>
      <w:tblPr>
        <w:tblW w:w="15525" w:type="dxa"/>
        <w:tblLayout w:type="autofit"/>
      </w:tblPr>
      <w:tr>
        <w:trPr/>
        <w:tc>
          <w:tcPr>
            <w:tcW w:w="48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315" w:type="dxa"/>
            <w:gridSpan w:val="11"/>
            <w:noWrap/>
          </w:tcPr>
          <w:p>
            <w:pPr/>
            <w:r>
              <w:rPr/>
              <w:t xml:space="preserve">Հաստիքային միավորների քանակը՝ կախված խմբերի թվից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վարձատրության խումբը</w:t>
            </w:r>
          </w:p>
        </w:tc>
      </w:tr>
      <w:tr>
        <w:trPr/>
        <w:tc>
          <w:tcPr>
            <w:tcW w:w="3495" w:type="dxa"/>
            <w:noWrap/>
          </w:tcPr>
          <w:p>
            <w:pPr/>
            <w:r>
              <w:rPr/>
              <w:t xml:space="preserve">Պաշտոնի անվանումը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10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11 խումբ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12 խումբ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բուժքույր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դաստիարակի օգնական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դաստիարակի օգնական  (մսուրային խմբեր (վաղ տարիքի առաջին, երկրորդ, կրտսեր տարիքի առաջին խմբեր))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2.6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3.9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5.2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6.5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7.8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9.1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10.4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11.7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14.3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15.6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34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3D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D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2026-04-01T22:56:03+04:00</dcterms:created>
  <dcterms:modified xsi:type="dcterms:W3CDTF">2026-04-01T22:56:03+04:00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