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ՊԱՐՏԱԴԻՐ ԱՊԱՀՈՎԱԳՐՄԱՆ ԵՆԹԱԿԱ ԱՌԱՆՁՆԱՊԵՍ ՎՏԱՆԳԱՎՈՐ ԱՐՏԱԴՐԱԿԱՆ ՕԲՅԵԿՏՆԵՐԻ ՑԱՆԿԸ ՀԱՍՏԱՏԵԼՈՒ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   ----------- 2017 թվականի  №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ՊԱՐՏԱԴԻՐ ԱՊԱՀՈՎԱԳՐՄԱՆ ԵՆԹԱԿԱ ԱՌԱՆՁՆԱՊԵՍ ՎՏԱՆԳԱՎՈՐ ԱՐՏԱԴՐԱԿԱՆ ՕԲՅԵԿՏՆԵՐԻ ՑԱՆԿԸ ՀԱՍՏԱՏԵԼՈՒ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«Տեխնիկական անվտանգության ապահովման պետական կարգավորման մասին» Հայաստանի Հանրապետության օրենքի 20-րդ հոդվածի 2-րդ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«Պարտադիր ապահովագրման ենթակա առանձնապես վտանգավոր արտադրական օբյեկտների ցանկ»-ը`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 ՎԱՐՉԱՊԵՏ                                                           ԿԱՐԵՆ ԿԱՐԱՊԵՏՅԱՆ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2017 թվականի</w:t>
      </w:r>
    </w:p>
    <w:p>
      <w:pPr>
        <w:jc w:val="end"/>
      </w:pPr>
      <w:r>
        <w:rPr/>
        <w:t xml:space="preserve">_________ _____ № - Ն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ՊԱՐՏԱԴԻՐ ԱՊԱՀՈՎԱԳՐՄԱՆ ԵՆԹԱԿԱ ԱՌԱՆՁՆԱՊԵՍ ՎՏԱՆԳԱՎՈՐ ԱՐՏԱԴՐԱԿԱՆ ՕԲՅԵԿՏՆԵՐԻ ՑԱՆԿ</w:t>
      </w:r>
    </w:p>
    <w:tbl>
      <w:tblGrid>
        <w:gridCol w:w="615" w:type="dxa"/>
        <w:gridCol w:w="9660" w:type="dxa"/>
      </w:tblGrid>
      <w:tblPr>
        <w:tblW w:w="0" w:type="auto"/>
        <w:tblLayout w:type="autofit"/>
      </w:tblPr>
      <w:tr>
        <w:trPr/>
        <w:tc>
          <w:tcPr>
            <w:tcW w:w="61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ԱՐՏԱԴՐԱԿԱՆ ՎՏԱՆԳԱՎՈՐ ՕԲՅԵԿՏՆԵՐԻ ԱՆՎԱՆՈՒՄԸ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                                                                          I.                 Քիմիայի ոլորտ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1.      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Քլորի և դրանց միացությունների արտադրության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2.     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Սինթետիկ կաուչուկի արտադրության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3.     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Ացետիլենի արտադրության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4.     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Ամոնիակի արտադրության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5.     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Պարարտանյութերի արտադրության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6.    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Սինթետիկ հիմքով լաքերի և ներկերի արտադրության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7.     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Քիմիական ռեակտիվների  արտադրության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8.    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Նավթավերամշակման և նավթաքիմիական մթերքների արտադրության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9.    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Քիմիա-դեղագործական, սպիտակուցա-վիտամինային նյութերի արտադրության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10.  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Ջրի էլեկտրոլիզի եղանակով ջրածնի ստացման արտադրության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11.    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Ամոնիակային սառնարանային կայանքների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II.  Մետաղագործության (սև,գունավոր) ոլորտ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12.   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Հումքի բովախառնուրդի նախապատրաստման արտադրության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13.   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Թրծման վալցամշակման արտադրամասերի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14.   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Ձուլման և էլեկտրաջերմային եղանակով մետաղների ստացման արտադրամասեր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15.   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Մետաղների զտման արտադրամասերի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16.  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Փոշեկորզման և գազազտման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17.   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Գունավոր մետաղների վերամշակման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18.  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Կարծր համաձուլվածքների և դժվարահալ մետաղների ստացման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19.  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Սնդիկի, ծծմբային նատրիումի, ծծմբային թթվի և դրանց միացություննների ստացման և պահման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20.  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Արգոնի, ազոտի արտադրության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21.   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Խողովակների տաք և սառը գլանման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III.  Հանքարդյունաբերության ոլորտ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22.  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Օգտակար հանածոների ստորգետնյա եղանակով մշակվող հանքահորեր, հանքարաններ, հանքափորվածքներ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23.  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Հանքահարստացման  (հարստացուցիչ) ֆաբրիկաների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24.  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Հանքահորաշինական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25.  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Հորատապայթեցման տեղամասերի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26.  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Ներհանքային (հանքահորային) տրանսպորտի և վերհան կայանքների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27.  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Պոչամբարային (շլամային) տնտեսության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28.  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Ապարների լցակույտերի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29.  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Արդյունաբերական պայթուցիկ նյութերի և պայթեցման միջոցների արտադրության, տեղափոխման, պահման օբյեկտներ, այդ թվում՝ստորգետնյա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IV.  Գազի  և հեղուկ վառելիքի տնտեսության ոլորտ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30. 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Հեղուկ գազի անշարժ և շարժական գազալցավորման կայաններ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31.   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Ավտոմոբիլային գազալցավորման ճնշակային կայաններ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32.  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Ստորգետնյա գազահորեր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33.  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Գազի և նավթամթերքների պահման մեծածախ պահեստարաններ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34.  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Հեղուկ նավթամթերքների (բենզին,դիզվառելիք) ավտոմոբիլային լցավորման</w:t>
            </w:r>
          </w:p>
          <w:p>
            <w:pPr/>
            <w:r>
              <w:rPr/>
              <w:t xml:space="preserve"> կայաններ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VI.   Շինարարական նյութերի արտադրության ոլորտ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35.  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Ցեմենտի արտադրության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36. 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Կրի (դոլոմիտի) արտադրության օբյեկտներ</w:t>
            </w:r>
          </w:p>
        </w:tc>
      </w:tr>
      <w:tr>
        <w:trPr/>
        <w:tc>
          <w:tcPr>
            <w:tcW w:w="10260" w:type="dxa"/>
            <w:gridSpan w:val="2"/>
            <w:noWrap/>
          </w:tcPr>
          <w:p>
            <w:pPr/>
            <w:r>
              <w:rPr/>
              <w:t xml:space="preserve">VII. Սննդարդյունաբերության ոլորտ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37.  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Բուսական հումքի մշակման, պահման պայթյունահրդեհավտանգ արտադրական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VIII. Ամբարձիչ սարքավորումների ոլորտ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38. 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Մարդատար ճոպանուղիների օբյեկտներ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39. </w:t>
            </w:r>
          </w:p>
        </w:tc>
        <w:tc>
          <w:tcPr>
            <w:tcW w:w="9660" w:type="dxa"/>
            <w:noWrap/>
          </w:tcPr>
          <w:p>
            <w:pPr/>
            <w:r>
              <w:rPr/>
              <w:t xml:space="preserve">Կարուսելների օբյեկտներ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C7E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2026-03-31T22:09:40+04:00</dcterms:created>
  <dcterms:modified xsi:type="dcterms:W3CDTF">2026-03-31T22:09:40+04:00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