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ՀՈՂԱՅԻՆ ՖՈՆԴԻ ԱՌԿԱՅՈՒԹՅԱՆ ԵՎ ԲԱՇԽՄԱՆ ՎԵՐԱԲԵՐՅԱԼ 2020 ԹՎԱԿԱՆԻ ՀԱՇՎԵՏՎՈՒԹՅՈՒՆԸ (ՀՈՂԱՅԻՆ ՀԱՇՎԵԿՇԻՌԸ) ՀԱՍՏԱՏԵԼՈՒ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..... 2020 թվականի N...........-Ն</w:t>
      </w:r>
    </w:p>
    <w:p>
      <w:pPr/>
      <w:r>
        <w:rPr/>
        <w:t xml:space="preserve"> </w:t>
      </w:r>
    </w:p>
    <w:p>
      <w:pPr/>
      <w:r>
        <w:rPr/>
        <w:t xml:space="preserve"> ՀԱՅԱՍՏԱՆԻ ՀԱՆՐԱՊԵՏՈՒԹՅԱՆ ՀՈՂԱՅԻՆ ՖՈՆԴԻ ԱՌԿԱՅՈՒԹՅԱՆ ԵՎ ԲԱՇԽՄԱՆ ՎԵՐԱԲԵՐՅԱԼ 2020 ԹՎԱԿԱՆԻ ՀԱՇՎԵՏՎՈՒԹՅՈՒՆԸ (ՀՈՂԱՅԻՆ ՀԱՇՎԵԿՇԻՌԸ) ՀԱՍՏԱՏԵԼՈՒ ՄԱՍԻՆ</w:t>
      </w:r>
    </w:p>
    <w:p>
      <w:pPr>
        <w:jc w:val="both"/>
      </w:pPr>
      <w:r>
        <w:rPr/>
        <w:t xml:space="preserve">Համաձայն Հայաստանի Հանրապետության հողային օրենսգրքի 34-րդ հոդվածի և Հայաստանի Հանրապետության կառավարության 2000 թվականի հոկտեմբերի 23-ի N656 որոշմամբ հաստատված կարգի պահանջների` Հայաստանի Հանրապետության կառավարությունը որոշում է.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2020 թվականի հողային ֆոնդի առկայության և բաշխման վերաբերյալ հաշվետվությունը (հողային հաշվեկշիռը)` 2020 թվականի հուլիսի 1-ի դրությամբ.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մտնելուց հետո Հայաստանի Հանրապետության էկոնոմիկայի նախարարին, Հայաստանի Հանրապետության շրջակա միջավայրի նախարարին և Հայաստանի Հանրապետության տարածքային կառավարման և ենթակառուցվածքների նախարարության ջրային կոմիտեի նախագահին` իրենց կողմից կատարվող աշխատանքների արդյունքում հողային ֆոնդի կազմում կատարվող փոփոխությունները (բազմամյա տնկարկների հիմնում, նոր հողերի իրացում, ոռոգվող հողերի նոր ելքեր, անտառների հիմնում և այլ փոփոխություններ), ներկայացնել Հայաստանի Հանրապետության մարզպետներին, համապատասխան համայնքների ղեկավարներին և Կադաստրի կոմիտե` հողերի ընթացիկ հաշվառումն իրականացնելու համար:</w:t>
      </w:r>
    </w:p>
    <w:p>
      <w:pPr>
        <w:numPr>
          <w:ilvl w:val="0"/>
          <w:numId w:val="2"/>
        </w:numPr>
      </w:pPr>
      <w:r>
        <w:rPr/>
        <w:t xml:space="preserve">Սույն որոշումն ուժի մեջ մտնելուց հետո Հայաստանի Հանրապետության շրջակա միջավայրի նախարարին` անտառշինական ծրագրերի իրականացման ժամանակ հայտնաբերված հողային ֆոնդի բաշխման անճշտությունները, անտառային հողերի, ինչպես նաև ազգային պարկերի, արգելոցների, արգելավայրերի սահմաններն ու տարածքները կառավարման պլաններին համապատասխան ճշգրտելուց հետո` համաձայնեցնել Հայաստանի Հանրապետության մարզպետների, համայնքների ղեկավարների հետ և ներկայացնել Կադաստրի կոմիտե` ընթացիկ հողային հաշվեկշռում ընդգրկելու համար: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….. թվականի N … որոշման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ՀՈՂԱՅԻՆ ՖՈՆԴԻ ԱՌԿԱՅՈՒԹՅԱՆ ԵՎ ԲԱՇԽՄԱՆ ՎԵՐԱԲԵՐՅԱԼ 2020 ԹՎԱԿԱՆԻ ՀԱՇՎԵՏՎՈՒԹՅՈՒՆԸ (ՀՈՂԱՅԻՆ ՀԱՇՎԵԿՇԻՌԸ)</w:t>
      </w:r>
    </w:p>
    <w:p>
      <w:pPr>
        <w:jc w:val="center"/>
      </w:pPr>
      <w:r>
        <w:rPr/>
        <w:t xml:space="preserve"> </w:t>
      </w:r>
    </w:p>
    <w:tbl>
      <w:tblGrid>
        <w:gridCol w:w="600" w:type="dxa"/>
        <w:gridCol w:w="5970" w:type="dxa"/>
        <w:gridCol w:w="1890" w:type="dxa"/>
        <w:gridCol w:w="1530" w:type="dxa"/>
      </w:tblGrid>
      <w:tblPr>
        <w:tblW w:w="9990" w:type="dxa"/>
        <w:tblLayout w:type="autofit"/>
      </w:tblPr>
      <w:tr>
        <w:trPr/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Տարածքը (</w:t>
            </w:r>
            <w:r>
              <w:rPr>
                <w:b w:val="1"/>
                <w:bCs w:val="1"/>
              </w:rPr>
              <w:t xml:space="preserve">հազար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հեկտար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5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ո</w:t>
            </w:r>
            <w:r>
              <w:rPr>
                <w:b w:val="1"/>
                <w:bCs w:val="1"/>
              </w:rPr>
              <w:t xml:space="preserve">րից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ոռոգվող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Հայաստանի Հանրապետության տարածքը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2’974.26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208.89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այդ թվում`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970" w:type="dxa"/>
            <w:noWrap/>
          </w:tcPr>
          <w:p>
            <w:pPr/>
            <w:r>
              <w:rPr>
                <w:b w:val="1"/>
                <w:bCs w:val="1"/>
              </w:rPr>
              <w:t xml:space="preserve">Հ</w:t>
            </w:r>
            <w:r>
              <w:rPr>
                <w:b w:val="1"/>
                <w:bCs w:val="1"/>
              </w:rPr>
              <w:t xml:space="preserve">ողային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ֆոնդն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ըստ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նպատակային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նշանակության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գյուղատնտեսական նշանակության հողեր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2’043.51                               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155.39  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որից`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վարելահողեր 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444.00                        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117.45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բազմամյա տնկարկներ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37.34                  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36.44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խոտհարքներ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121.11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1.50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դ.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արոտավայրեր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1’050.54     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ե.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այլ հողատեսքեր  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390.52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բնակավայրերի հողեր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151.94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53.10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որից`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տնամերձ և այգեգործական (ամառանոցային) հողեր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94.61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52.96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արդյունաբերության, ընդերքօգտագործման և այլ արտադրական նշանակության հողեր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38.64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4)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էներգետիկայի, տրանսպորտի, կապի,</w:t>
            </w:r>
          </w:p>
          <w:p>
            <w:pPr/>
            <w:r>
              <w:rPr/>
              <w:t xml:space="preserve">կոմունալ ենթակառուցվածքների օբյեկտների հողեր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13.56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5)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հատուկ պահպանվող տարածքների հողեր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335.64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6)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հատուկ նշանակության հողեր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30.51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7)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անտառային հողեր  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334.02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0.4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8)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ջրային հողեր            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25.82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9)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պահուստային հողեր                           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0.62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5970" w:type="dxa"/>
            <w:noWrap/>
          </w:tcPr>
          <w:p>
            <w:pPr/>
            <w:r>
              <w:rPr>
                <w:b w:val="1"/>
                <w:bCs w:val="1"/>
              </w:rPr>
              <w:t xml:space="preserve">Հողային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ֆոնդն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ըստ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սեփականության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սուբյեկտների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քաղաքացիների         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538.86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180.42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իրավաբանական անձանց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37.32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5.75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համայնքային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1’024.19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20.94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4)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պետական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1’373.23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1.62</w:t>
            </w:r>
          </w:p>
        </w:tc>
      </w:tr>
      <w:tr>
        <w:trPr/>
        <w:tc>
          <w:tcPr>
            <w:tcW w:w="600" w:type="dxa"/>
            <w:noWrap/>
          </w:tcPr>
          <w:p>
            <w:pPr/>
            <w:r>
              <w:rPr/>
              <w:t xml:space="preserve">5)</w:t>
            </w:r>
          </w:p>
        </w:tc>
        <w:tc>
          <w:tcPr>
            <w:tcW w:w="5970" w:type="dxa"/>
            <w:noWrap/>
          </w:tcPr>
          <w:p>
            <w:pPr/>
            <w:r>
              <w:rPr/>
              <w:t xml:space="preserve">օտարերկրյա պետությունների, միջազգային կազմակերպությունների                                                   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0.66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0.16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6A4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2026-04-03T20:08:40+04:00</dcterms:created>
  <dcterms:modified xsi:type="dcterms:W3CDTF">2026-04-03T20:08:40+04:00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