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2014 թվականի հոկտեմբերի 2-ի   N 1085-Ն որոշման մեջ փոփոխություններ և լրացումներ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-------------- 2020թ. N       - 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 ԿԱՌԱՎԱՐՈՒԹՅԱՆ 2014 ԹՎԱԿԱՆԻ</w:t>
      </w:r>
    </w:p>
    <w:p>
      <w:pPr>
        <w:jc w:val="center"/>
      </w:pPr>
      <w:r>
        <w:rPr/>
        <w:t xml:space="preserve">ՀՈԿՏԵՄԲԵՐԻ 2-Ի N 1085-Ն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Ղեկավարվելով «Նորմատիվ իրավական ակտերի մասին» օրենքի  34-րդ հոդվածի 1-ին մասով՝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հոկտեմբերի 2-ի «Պարտադիր զինվորական ծառայություն անցնող շարքային կազմի զինծառայողների (ներառյալ` ծառայության ընթացքում կրտսեր ենթասպայական կազմի զինվորական կոչում ստացած և պայմանագրային զինվորական ծառայություն անցնելու մասին պայմանգիր չկնքած զինծառայողների), Հայաստանի Հանրապետության պաշտպանության նախարարության կողմից նշված վայրում և պայմաններում զինվորական ծառայություն անցնելու պայմանագիր կնքած շարքային կազմի պարտադիր զինծառայողների, ինչպես նաև ռազմաուսումնական կամ ոստիկանական ուսումնական հաստատություններում սովորող կուրսանտների և սովորողների դրամական ապահովության կարգը և  չափերը սահմանելու մասին» N 1085-Ն որոշման (այսուհետ՝ որոշում) մեջ կատարել հետևյալ փոփոխությունները և լրացումները.</w:t>
      </w:r>
    </w:p>
    <w:p>
      <w:pPr/>
      <w:r>
        <w:rPr/>
        <w:t xml:space="preserve">      1) որոշման 1-ին հավելվածի 2-րդ կետի՝</w:t>
      </w:r>
    </w:p>
    <w:p>
      <w:pPr>
        <w:jc w:val="both"/>
      </w:pPr>
      <w:r>
        <w:rPr/>
        <w:t xml:space="preserve">   ա. 2-րդ ենթակետում «և ուսումնառության տարիների» բառերը փոխարինել «, ուսումնառության տարիների և առաջադիմության» բառերով.</w:t>
      </w:r>
    </w:p>
    <w:p>
      <w:pPr/>
      <w:r>
        <w:rPr/>
        <w:t xml:space="preserve">      բ. 3-րդ ենթակետում «երկրների» բառից հետո լրացնել «և առաջադիմության» բառերը.</w:t>
      </w:r>
    </w:p>
    <w:p>
      <w:pPr/>
      <w:r>
        <w:rPr/>
        <w:t xml:space="preserve">      2) որոշման 2-րդ հավելվածում՝</w:t>
      </w:r>
    </w:p>
    <w:p>
      <w:pPr/>
      <w:r>
        <w:rPr/>
        <w:t xml:space="preserve">      ա. 3-րդ և 4-րդ կետերը շարադրել հետևյալ խմբագրությամբ.</w:t>
      </w:r>
    </w:p>
    <w:p>
      <w:pPr/>
      <w:r>
        <w:rPr/>
        <w:t xml:space="preserve">     «3. Հայաստանի Հանրապետության ռազմաուսումնական հաստատությունների կուրսանտների դրամական ապահովությունը, ըստ շնորհված զինվորական կոչումների, ուսումնառության տարիների և առաջադիմության, սահմանվում է.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(դրամ)</w:t>
      </w:r>
    </w:p>
    <w:p>
      <w:pPr/>
      <w:r>
        <w:rPr/>
        <w:t xml:space="preserve"> </w:t>
      </w:r>
    </w:p>
    <w:tbl>
      <w:tblGrid>
        <w:gridCol w:w="570" w:type="dxa"/>
        <w:gridCol w:w="2130" w:type="dxa"/>
        <w:gridCol w:w="1140" w:type="dxa"/>
        <w:gridCol w:w="1140" w:type="dxa"/>
        <w:gridCol w:w="1140" w:type="dxa"/>
        <w:gridCol w:w="1140" w:type="dxa"/>
        <w:gridCol w:w="1140" w:type="dxa"/>
        <w:gridCol w:w="2265" w:type="dxa"/>
      </w:tblGrid>
      <w:tblPr>
        <w:tblW w:w="10635" w:type="dxa"/>
        <w:tblLayout w:type="autofit"/>
      </w:tblPr>
      <w:tr>
        <w:trPr/>
        <w:tc>
          <w:tcPr>
            <w:tcW w:w="570" w:type="dxa"/>
            <w:noWrap/>
          </w:tcPr>
          <w:p>
            <w:pPr/>
            <w:r>
              <w:rPr/>
              <w:t xml:space="preserve">NN</w:t>
            </w:r>
          </w:p>
          <w:p>
            <w:pPr/>
            <w:r>
              <w:rPr/>
              <w:t xml:space="preserve">ը/կ</w:t>
            </w:r>
          </w:p>
        </w:tc>
        <w:tc>
          <w:tcPr>
            <w:tcW w:w="10065" w:type="dxa"/>
            <w:gridSpan w:val="7"/>
            <w:noWrap/>
          </w:tcPr>
          <w:p>
            <w:pPr>
              <w:jc w:val="center"/>
            </w:pPr>
            <w:r>
              <w:rPr/>
              <w:t xml:space="preserve">Ամսական չափերը</w:t>
            </w:r>
          </w:p>
        </w:tc>
      </w:tr>
      <w:tr>
        <w:trPr/>
        <w:tc>
          <w:tcPr>
            <w:tcW w:w="2130" w:type="dxa"/>
            <w:noWrap/>
          </w:tcPr>
          <w:p>
            <w:pPr>
              <w:jc w:val="center"/>
            </w:pPr>
            <w:r>
              <w:rPr/>
              <w:t xml:space="preserve">Ըստ կուրսանտին շնորհված զինվորական կոչման</w:t>
            </w:r>
          </w:p>
        </w:tc>
        <w:tc>
          <w:tcPr>
            <w:tcW w:w="5670" w:type="dxa"/>
            <w:gridSpan w:val="5"/>
            <w:noWrap/>
          </w:tcPr>
          <w:p>
            <w:pPr>
              <w:jc w:val="center"/>
            </w:pPr>
            <w:r>
              <w:rPr/>
              <w:t xml:space="preserve">Ըստ ուսումնառության</w:t>
            </w:r>
          </w:p>
          <w:p>
            <w:pPr/>
            <w:r>
              <w:rPr/>
              <w:t xml:space="preserve">տարիների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Ըստ առաջադիմության (5-րդ կետի պայմանն ապահովելու դեպքում)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1-ին տարի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2-րդ տարի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3-րդ տարի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4-րդ տարի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5-րդ տարի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ավագ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27 100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28 300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29 500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30 700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31 900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10 000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ավագ սերժանտ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23 200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24 400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25 600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26 800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28 000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10 000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սերժանտ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19 400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20 600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21 800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23 000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24 200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10 000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կրտսեր սերժանտ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15 500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16 700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17 900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19 100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20 300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10 000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եֆրեյտոր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11 600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12 800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14 000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15 200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16 400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10 000</w:t>
            </w:r>
          </w:p>
        </w:tc>
      </w:tr>
      <w:tr>
        <w:trPr/>
        <w:tc>
          <w:tcPr>
            <w:tcW w:w="57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2130" w:type="dxa"/>
            <w:noWrap/>
          </w:tcPr>
          <w:p>
            <w:pPr/>
            <w:r>
              <w:rPr/>
              <w:t xml:space="preserve">շարքային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5 300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7 100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9 500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11 300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13 100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10 000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Օտարերկրյա պետությունների ռազմաուսումնական հաստատությունների կուրսանտների դրամական ապահովությունը, ըստ ուսումնառության երկրների և առաջադիմության, սահմանվում է.</w:t>
      </w:r>
    </w:p>
    <w:p>
      <w:pPr/>
      <w:r>
        <w:rPr/>
        <w:t xml:space="preserve">                                                                                                           (դրամ)</w:t>
      </w:r>
    </w:p>
    <w:p>
      <w:pPr/>
      <w:r>
        <w:rPr/>
        <w:t xml:space="preserve"> </w:t>
      </w:r>
    </w:p>
    <w:tbl>
      <w:tblGrid>
        <w:gridCol w:w="2130" w:type="dxa"/>
        <w:gridCol w:w="3120" w:type="dxa"/>
        <w:gridCol w:w="3255" w:type="dxa"/>
      </w:tblGrid>
      <w:tblPr>
        <w:tblW w:w="8505" w:type="dxa"/>
        <w:tblLayout w:type="autofit"/>
      </w:tblPr>
      <w:tr>
        <w:trPr/>
        <w:tc>
          <w:tcPr>
            <w:tcW w:w="8505" w:type="dxa"/>
            <w:gridSpan w:val="3"/>
            <w:noWrap/>
          </w:tcPr>
          <w:p>
            <w:pPr>
              <w:jc w:val="center"/>
            </w:pPr>
            <w:r>
              <w:rPr/>
              <w:t xml:space="preserve">Ամսական չափերը</w:t>
            </w:r>
          </w:p>
        </w:tc>
      </w:tr>
      <w:tr>
        <w:trPr/>
        <w:tc>
          <w:tcPr>
            <w:tcW w:w="5250" w:type="dxa"/>
            <w:gridSpan w:val="2"/>
            <w:noWrap/>
          </w:tcPr>
          <w:p>
            <w:pPr>
              <w:jc w:val="center"/>
            </w:pPr>
            <w:r>
              <w:rPr/>
              <w:t xml:space="preserve">Ըստ ուսումնառության երկրների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Ըստ առաջադիմության</w:t>
            </w:r>
          </w:p>
          <w:p>
            <w:pPr>
              <w:jc w:val="center"/>
            </w:pPr>
            <w:r>
              <w:rPr/>
              <w:t xml:space="preserve">(5-րդ կետի պայմանն ապահովելու դեպքում)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130" w:type="dxa"/>
            <w:noWrap/>
          </w:tcPr>
          <w:p>
            <w:pPr>
              <w:jc w:val="center"/>
            </w:pPr>
            <w:r>
              <w:rPr/>
              <w:t xml:space="preserve">Ռուսաստանի Դաշնություն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120" w:type="dxa"/>
            <w:noWrap/>
          </w:tcPr>
          <w:p>
            <w:pPr>
              <w:jc w:val="center"/>
            </w:pPr>
            <w:r>
              <w:rPr/>
              <w:t xml:space="preserve">Այլ օտարերկրյա պետություններ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10 000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100 000</w:t>
            </w:r>
          </w:p>
        </w:tc>
        <w:tc>
          <w:tcPr>
            <w:tcW w:w="3255" w:type="dxa"/>
            <w:noWrap/>
          </w:tcPr>
          <w:p>
            <w:pPr/>
            <w:r>
              <w:rPr/>
              <w:t xml:space="preserve">10 000</w:t>
            </w:r>
          </w:p>
        </w:tc>
      </w:tr>
    </w:tbl>
    <w:p>
      <w:pPr/>
      <w:r>
        <w:rPr/>
        <w:t xml:space="preserve">».</w:t>
      </w:r>
    </w:p>
    <w:p>
      <w:pPr/>
      <w:r>
        <w:rPr/>
        <w:t xml:space="preserve"> </w:t>
      </w:r>
    </w:p>
    <w:p>
      <w:pPr/>
      <w:r>
        <w:rPr/>
        <w:t xml:space="preserve">     բ. լրացնել 5-րդ կետ՝ հետևյալ բովանդակությամբ.</w:t>
      </w:r>
    </w:p>
    <w:p>
      <w:pPr/>
      <w:r>
        <w:rPr/>
        <w:t xml:space="preserve">     «5. Առաջադիմության համար դրամական ապահովությունը հաշվարկվում է կիսամյակային և (կամ) հաջորդ կուրս փոխադրվելու գնահատման արդյունքներով՝ կուրսանտի միջին որակական գնահատականը (ՄՈԳ) ռազմաուսումնական հաստատությունում սահմանված միջին որակական գնահատականի (ՄՈԳ) առավելագույն արժեքի առնվազն 80 տոկոսը կազմելու դեպքում: Առաջադիմության համար դրամական ապահովությունը հաշվարկվում է գնահատված կիսամյակին և (կամ) հաջորդ կուրս փոխադրվելու քննություններին հաջորդող կիսամյակի ընթացքում:»: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2020 թվականի սեպտեմբերի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55E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E587C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E33C6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2026-04-06T15:49:29+04:00</dcterms:created>
  <dcterms:modified xsi:type="dcterms:W3CDTF">2026-04-06T15:49:29+04:00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