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ՀԱՆՐԱՊԵՏՈՒԹՅԱՆ ՕՐԵՆՔ ՀԱՅԱՍՏԱՆԻ ՀԱՆՐԱՊԵՏՈՒԹՅԱՆ ՊԱՇՏՈՆԱԿԱՆ ՓԱՍՏԱԹՂԹԵՐԸ ԱՊՈՍՏԻԼՈՎ ՎԱՎԵՐԱՑՆԵԼՈՒ ՄԱՍԻՆ (ԼՐԱՄՇԱԿՎԱԾ ՏԱՐԲԵՐԱԿ)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ՊԱՇՏՈՆԱԿԱՆ ՓԱՍՏԱԹՂԹԵՐԸ ԱՊՈՍՏԻԼՈՎ ՎԱՎԵՐԱՑՆԵԼՈՒ ՄԱՍԻՆ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 Հոդված</w:t>
      </w:r>
      <w:r>
        <w:rPr>
          <w:b w:val="1"/>
          <w:bCs w:val="1"/>
        </w:rPr>
        <w:t xml:space="preserve"> 1.</w:t>
      </w:r>
      <w:r>
        <w:rPr/>
        <w:t xml:space="preserve"> </w:t>
      </w:r>
      <w:r>
        <w:rPr>
          <w:b w:val="1"/>
          <w:bCs w:val="1"/>
        </w:rPr>
        <w:t xml:space="preserve">Օրենքի կարգավորման առարկան</w:t>
      </w:r>
    </w:p>
    <w:p>
      <w:pPr>
        <w:numPr>
          <w:ilvl w:val="0"/>
          <w:numId w:val="2"/>
        </w:numPr>
      </w:pPr>
      <w:r>
        <w:rPr/>
        <w:t xml:space="preserve">Սույն օրենքը կարգավորում է Հայաստանի Հանրապետությունում կազմված և տրված պաշտոնական փաստաթղթերի՝ «Օտարերկրյա պաշտոնական փաստաթղթերի օրինականացման պահանջը չեղյալ հայտարարելու մասին» 1961 թվականի հոկտեմբերի 5-ի Հաագայի կոնվենցիայով (այսուհետ՝ Կոնվենցիա) նախատեսված ապոստիլով վավերացնելու գործընթացի հետ կապված հարաբերությունները: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 Հոդված 2.</w:t>
      </w:r>
      <w:r>
        <w:rPr/>
        <w:t xml:space="preserve"> </w:t>
      </w:r>
      <w:r>
        <w:rPr>
          <w:b w:val="1"/>
          <w:bCs w:val="1"/>
        </w:rPr>
        <w:t xml:space="preserve">Օրենքում օգտագործվող հիմնական հասկացությունները</w:t>
      </w:r>
    </w:p>
    <w:p>
      <w:pPr>
        <w:numPr>
          <w:ilvl w:val="0"/>
          <w:numId w:val="3"/>
        </w:numPr>
      </w:pPr>
      <w:r>
        <w:rPr/>
        <w:t xml:space="preserve">Սույն օրենքում օգտագործվող հիմնական հասկացություններն են.</w:t>
      </w:r>
    </w:p>
    <w:p>
      <w:pPr/>
      <w:r>
        <w:rPr/>
        <w:t xml:space="preserve">1) Ապոստիլ՝ Կոնվենցիայի 3-րդ հոդվածով նախատեսված թղթային կամ էլեկտրոնային հավաստագիր, որը հավաստում է  պաշտոնական փաստաթուղթը ստորագրող անձի պաշտոնեական դիրքի, նրա ստորագրության, փաստաթղթի վրա դրված կնիքի կամ դրոշմակնիքի իսկությունը:</w:t>
      </w:r>
    </w:p>
    <w:p>
      <w:pPr/>
      <w:r>
        <w:rPr/>
        <w:t xml:space="preserve">2) Պաշտոնական փաստաթուղթ՝ Հայաստանի Հանրապետության վարչական, դատական և այլ մարմինների, այդ մարմինների պաշտոնատար անձանց, ինչպես նաև նոտարների կողմից իրենց պաշտոնական գործառույթների իրականացման ընթացքում թղթային կրիչի կամ էլեկտրոնային ձևաչափով կազմված և տրամադրված փաստաթղթեր: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 Հոդված 3.</w:t>
      </w:r>
      <w:r>
        <w:rPr/>
        <w:t xml:space="preserve"> </w:t>
      </w:r>
      <w:r>
        <w:rPr>
          <w:b w:val="1"/>
          <w:bCs w:val="1"/>
        </w:rPr>
        <w:t xml:space="preserve">Պաշտոնական փաստաթղթերի ապոստիլով վավերացում</w:t>
      </w:r>
    </w:p>
    <w:p>
      <w:pPr>
        <w:numPr>
          <w:ilvl w:val="0"/>
          <w:numId w:val="4"/>
        </w:numPr>
      </w:pPr>
      <w:r>
        <w:rPr/>
        <w:t xml:space="preserve">Հայաստանի Հանրապետությունում ապոստիլով վավերացվում են այն պաշտոնական փաստաթղթերը, որոնք ներկայացվելու են Կոնվենցիային անդամակցող պետությունների տարածքում:</w:t>
      </w:r>
    </w:p>
    <w:p>
      <w:pPr>
        <w:numPr>
          <w:ilvl w:val="0"/>
          <w:numId w:val="4"/>
        </w:numPr>
      </w:pPr>
      <w:r>
        <w:rPr/>
        <w:t xml:space="preserve">Օտարերկրյա պետության իրավասու մարմինների կողմից կազմված և տրված փաստաթղթերը Հայաստանի Հանրապետությունում ապոստիլով վավերացման ենթակա չեն:</w:t>
      </w:r>
    </w:p>
    <w:p>
      <w:pPr>
        <w:numPr>
          <w:ilvl w:val="0"/>
          <w:numId w:val="4"/>
        </w:numPr>
      </w:pPr>
      <w:r>
        <w:rPr/>
        <w:t xml:space="preserve">Հայաստանի Հանրապետությունում կազմված և տրված պաշտոնական փաստաթղթերը ապոստիլով վավերացվում են Արդարադատության նախարարության կողմից:</w:t>
      </w:r>
    </w:p>
    <w:p>
      <w:pPr>
        <w:numPr>
          <w:ilvl w:val="0"/>
          <w:numId w:val="4"/>
        </w:numPr>
      </w:pPr>
      <w:r>
        <w:rPr/>
        <w:t xml:space="preserve">Արդարադատության նախարարության կողմից պաշտոնական փաստաթղթերը ապոստիլով վավերացնելու համար դիմում ներկայացնելու, դիմումի ուսումնասիրության կարգը և ժամկետները, ապոստիլի ձևանմուշը, տեսակները, վավերապայմանները, «Էլեկտրոնային ապոստիլ» միասնական էլեկտրոնային կառավարման համակարգը գործածելու կարգը, «Էլեկտրոնային ապոստիլ» միասնական էլեկտրոնային կառավարման համակարգի միասնական շտեմարանը վարելու, օգտագործելու և տեխնիկական ապահովումը իրականացնելու կարգը, ինչպես նաև ապոստիլով վավերացվող պաշտոնական փաստաթղթերի ցանկը սահմանում է Արդարադատության նախարարը:</w:t>
      </w:r>
    </w:p>
    <w:p>
      <w:pPr>
        <w:numPr>
          <w:ilvl w:val="0"/>
          <w:numId w:val="4"/>
        </w:numPr>
      </w:pPr>
      <w:r>
        <w:rPr/>
        <w:t xml:space="preserve">5. Պաշտոնական փաստաթուղթը ապոստիլով վավերացնելու համար գանձվում է պետական տուրք «Պետական տուրքի մասին» օրենքով սահմանված չափով և կարգով, բացառությամբ սույն հոդվածի 6-րդ մասով նախատեսված դրույթների:</w:t>
      </w:r>
    </w:p>
    <w:p>
      <w:pPr>
        <w:numPr>
          <w:ilvl w:val="0"/>
          <w:numId w:val="4"/>
        </w:numPr>
      </w:pPr>
      <w:r>
        <w:rPr/>
        <w:t xml:space="preserve">Պաշտոնական փաստաթուղթը սահմանված ժամկետից շուտ ապոստիլով վավերացնելու համար մատուցվող ծառայության դիմաց գանձվող վճարի չափը սահմանում է Հայաստանի Հանրապետության կառավարությունը: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Հոդված 4.  Օտարերկրյա պետության կողմից կազմված փաստաթղթի վավերականությունը Հայաստանի Հանրապետությունում</w:t>
      </w:r>
    </w:p>
    <w:p>
      <w:pPr>
        <w:numPr>
          <w:ilvl w:val="0"/>
          <w:numId w:val="5"/>
        </w:numPr>
      </w:pPr>
      <w:r>
        <w:rPr/>
        <w:t xml:space="preserve">1</w:t>
      </w:r>
      <w:r>
        <w:rPr>
          <w:b w:val="1"/>
          <w:bCs w:val="1"/>
        </w:rPr>
        <w:t xml:space="preserve">. </w:t>
      </w:r>
      <w:r>
        <w:rPr/>
        <w:t xml:space="preserve">Կոնվենցիայի անդամ պետությունների իրավասու մարմինների՝ տվյալ պետության օրենսդրությամբ սահմանված կարգով և իրենց լիազորությունների շրջանակներում տրված փաստաթղթերը, որոնք վավերացված են ապոստիլով, Հայաստանի Հանրապետության տարածքում համարվում են վավեր՝ առանց հյուպատոսական վավերացման կամ այլ լրացուցիչ օրինականացման:</w:t>
      </w:r>
    </w:p>
    <w:p>
      <w:pPr>
        <w:numPr>
          <w:ilvl w:val="0"/>
          <w:numId w:val="5"/>
        </w:numPr>
      </w:pPr>
      <w:r>
        <w:rPr/>
        <w:t xml:space="preserve">Սույն հոդվածի 1-ին մասում նախատեսված փաստաթղթերի ապոստիլով հաստատված լինելը պարտադիր է, եթե Հայաստանի Հանրապետության օրենքով այլ բան նախատեսված չէ կամ Հայաստանի Հանրապետության միջազգային այլ պայմանագրերով վերացվել, պարզեցվել է օրինականացման ընթացակարգը կամ փաստաթուղթը ազատվել է օրինականացումից: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 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  Պ</w:t>
      </w:r>
      <w:r>
        <w:rPr>
          <w:b w:val="1"/>
          <w:bCs w:val="1"/>
        </w:rPr>
        <w:t xml:space="preserve">աշտոնական</w:t>
      </w:r>
      <w:r>
        <w:rPr>
          <w:b w:val="1"/>
          <w:bCs w:val="1"/>
        </w:rPr>
        <w:t xml:space="preserve"> փ</w:t>
      </w:r>
      <w:r>
        <w:rPr>
          <w:b w:val="1"/>
          <w:bCs w:val="1"/>
        </w:rPr>
        <w:t xml:space="preserve">աստաթուղթն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ապոստիլով</w:t>
      </w:r>
      <w:r>
        <w:rPr/>
        <w:t xml:space="preserve"> </w:t>
      </w:r>
      <w:r>
        <w:rPr>
          <w:b w:val="1"/>
          <w:bCs w:val="1"/>
        </w:rPr>
        <w:t xml:space="preserve">վավերացնելու դիմումի մերժման հիմքեր.</w:t>
      </w:r>
    </w:p>
    <w:p>
      <w:pPr>
        <w:numPr>
          <w:ilvl w:val="0"/>
          <w:numId w:val="6"/>
        </w:numPr>
      </w:pPr>
      <w:r>
        <w:rPr/>
        <w:t xml:space="preserve">Պաշտոնական փաստաթուղթնապոստիլով վավերացնելու դիմումը մերժվում է, եթե`</w:t>
      </w:r>
    </w:p>
    <w:p>
      <w:pPr>
        <w:numPr>
          <w:ilvl w:val="0"/>
          <w:numId w:val="7"/>
        </w:numPr>
      </w:pPr>
      <w:r>
        <w:rPr/>
        <w:t xml:space="preserve">փաստաթուղթը պատրաստվել կամ հաստատվել, կամ կնիքվել է դրա լիազորությունը չունեցող անձի կամ մարմնի կողմից,</w:t>
      </w:r>
    </w:p>
    <w:p>
      <w:pPr>
        <w:numPr>
          <w:ilvl w:val="0"/>
          <w:numId w:val="7"/>
        </w:numPr>
      </w:pPr>
      <w:r>
        <w:rPr/>
        <w:t xml:space="preserve">փաստաթուղթը չի համապատասխանում տվյալ փաստաթղթի համար սահմանված ձևաչափին,</w:t>
      </w:r>
    </w:p>
    <w:p>
      <w:pPr>
        <w:numPr>
          <w:ilvl w:val="0"/>
          <w:numId w:val="7"/>
        </w:numPr>
      </w:pPr>
      <w:r>
        <w:rPr/>
        <w:t xml:space="preserve">փաստաթղթիապոստիլով վավերացումը չի բխում Կոնվենցիայի և Հայաստանի Հանրապետության օրենսդրության պահանջներից</w:t>
      </w:r>
    </w:p>
    <w:p>
      <w:pPr>
        <w:numPr>
          <w:ilvl w:val="0"/>
          <w:numId w:val="7"/>
        </w:numPr>
      </w:pPr>
      <w:r>
        <w:rPr/>
        <w:t xml:space="preserve">փաստաթղթիապոստիլով վավերացնելու լիազորությունը վերապահված չէ տվյալ մարմնին,</w:t>
      </w:r>
    </w:p>
    <w:p>
      <w:pPr>
        <w:numPr>
          <w:ilvl w:val="0"/>
          <w:numId w:val="7"/>
        </w:numPr>
      </w:pPr>
      <w:r>
        <w:rPr/>
        <w:t xml:space="preserve">փաստաթուղթը ապոստիլով վավերացնելու մասին դիմումը ներկայացվել է սույն օրենքի և փաստաթուղթը ապոստիլով վավերացնելու գործընթացը կարգավորող այլ իրավական ակտերով սահմանված ընթացակարգի խախտմամբ,</w:t>
      </w:r>
    </w:p>
    <w:p>
      <w:pPr>
        <w:numPr>
          <w:ilvl w:val="0"/>
          <w:numId w:val="7"/>
        </w:numPr>
      </w:pPr>
      <w:r>
        <w:rPr/>
        <w:t xml:space="preserve">անընթեռնելի են փաստաթուղթը ստորագրող անձի պաշտոնեական դիրքի մասին տվյալները, վերջինիս ստորագրությունը, փաստաթուղթը հաստատված կնիքը կամ դրոշմակնիքը,</w:t>
      </w:r>
    </w:p>
    <w:p>
      <w:pPr>
        <w:numPr>
          <w:ilvl w:val="0"/>
          <w:numId w:val="7"/>
        </w:numPr>
      </w:pPr>
      <w:r>
        <w:rPr/>
        <w:t xml:space="preserve">փաստաթուղթը վնասված է, պահպանված չէ փաստաթղթի ամբողջականությունը, փաստաթղթի վրա առկա են անթույլատրելի գրառումներ,</w:t>
      </w:r>
    </w:p>
    <w:p>
      <w:pPr>
        <w:numPr>
          <w:ilvl w:val="0"/>
          <w:numId w:val="7"/>
        </w:numPr>
      </w:pPr>
      <w:r>
        <w:rPr/>
        <w:t xml:space="preserve">չի ներկայացվել փաստաթուղթը ապոստիլով վավերացնելու համար օրենսդրությամբ սահմանված փաստաթղթերը և վճարումը հավաստող անդորրագիրը,</w:t>
      </w:r>
    </w:p>
    <w:p>
      <w:pPr>
        <w:numPr>
          <w:ilvl w:val="0"/>
          <w:numId w:val="7"/>
        </w:numPr>
      </w:pPr>
      <w:r>
        <w:rPr/>
        <w:t xml:space="preserve">փաստաթուղթը ներկայացվելու է Կոնվենցիային չանդամակցող երկիր,</w:t>
      </w:r>
    </w:p>
    <w:p>
      <w:pPr>
        <w:numPr>
          <w:ilvl w:val="0"/>
          <w:numId w:val="7"/>
        </w:numPr>
      </w:pPr>
      <w:r>
        <w:rPr/>
        <w:t xml:space="preserve">փաստաթուղթը ակնհայտ կեղծ է: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 6. Ապոստիլով վավերացվող պաշտոնական փաստաթուղթը կազմող և տրամադրող մարմնի կողմից տեղեկությունների տրամադրում </w:t>
      </w:r>
    </w:p>
    <w:p>
      <w:pPr>
        <w:numPr>
          <w:ilvl w:val="0"/>
          <w:numId w:val="8"/>
        </w:numPr>
      </w:pPr>
      <w:r>
        <w:rPr/>
        <w:t xml:space="preserve">Ապոստիլով վավերացման ենթակա պաշտոնական փաստաթուղթ կազմող և տրամադրող մարմինները և պաշտոնատար անձիք Արդարադատության նախարարություն ներկայացնում են իրենց կողմից կազմվող պաշտոնական փաստաթուղթը հաստատող պաշտոնատար անձի, վերջինիս պաշտոնեական դիրքի, պաշտոնավարման ժամանակահատվածի վերաբերյալ տեղեկությունները, ինչպես նաև նրա ստորագրության և պաշտոնական փաստաթուղթը հաստատվող կնիքի, դրոշմակնիքի նմուշները: Պաշտոնական փաստաթղթի Հայաստանի Հանրապետության օրենսդրությամբ ձևանմուշ սահմանված լինելու դեպքում Արդարադատության նախարարություն է տրամադրվում նաև այդ ձևանմուշը:</w:t>
      </w:r>
    </w:p>
    <w:p>
      <w:pPr>
        <w:numPr>
          <w:ilvl w:val="0"/>
          <w:numId w:val="8"/>
        </w:numPr>
      </w:pPr>
      <w:r>
        <w:rPr/>
        <w:t xml:space="preserve">Արդարադատության նախարարությանը պաշտոնական փաստաթղթի ձևանմուշի, այն կազմող անձի, վերջինիս պաշտոնեական դիրքի, պաշտոնավարման ժամանակահատվածի վերաբերյալ տեղեկությունների, նրա ստորագրության և պաշտոնական փաստաթուղթը հաստատվող կնիքի, դրոշմակնիքի նմուշների տրամադրման կարգը սահմանում է Հայաստանի Հանրապետության կառավարությունը: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Հոդված 7. Եզրափակիչ և անցումային դրույթներ</w:t>
      </w:r>
    </w:p>
    <w:p>
      <w:pPr>
        <w:numPr>
          <w:ilvl w:val="0"/>
          <w:numId w:val="9"/>
        </w:numPr>
      </w:pPr>
      <w:r>
        <w:rPr/>
        <w:t xml:space="preserve">Սույն օրենքը ուժի մեջ է մտնում պաշտոնական հրապարակման օրվան հաջորդող տասներորդ օրը:</w:t>
      </w:r>
    </w:p>
    <w:p>
      <w:pPr>
        <w:numPr>
          <w:ilvl w:val="0"/>
          <w:numId w:val="9"/>
        </w:numPr>
      </w:pPr>
      <w:r>
        <w:rPr/>
        <w:t xml:space="preserve">Մինչև սույն օրենքի 3-րդ հոդվածի 4-րդ մասով, 6-րդ հոդվածի 2-րդ մասով նախատեսված կարգերի ուժի մեջ մտնելը պաշտոնական փաստաթղթերը ապոստիլով հաստատման գործընթացը իրականացվում է գործող իրավական ակտերով սահմանված կարգով:</w:t>
      </w:r>
    </w:p>
    <w:p>
      <w:pPr/>
      <w:r>
        <w:rPr/>
        <w:t xml:space="preserve">      3. Սույն օրենքի  3-րդ հոդվածի 4-րդ մասով, 6-րդ հոդվածի 2-րդ մասով նախատեսված իրավական ակտերը ընդունվում են սույն օրենքն ուժի մեջ մտնելուց հետո եռամսյա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6FF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879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D7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1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76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3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91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233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2026-04-04T01:17:22+04:00</dcterms:created>
  <dcterms:modified xsi:type="dcterms:W3CDTF">2026-04-04T01:17:22+04:00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