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«ԳՈՎԱԶԴԻ ՄԱՍԻՆ» ՀԱՅԱՍՏԱՆԻ ՀԱՆՐԱՊԵՏՈՒԹՅԱՆ ՕՐԵՆՔՈՒՄ ՓՈՓՈԽՈՒԹՅՈՒՆ ԵՎ ԼՐԱՑՈՒՄ ԿԱՏԱՐԵԼՈՒ ՄԱՍԻՆ ՀԱՅԱՍՏԱՆԻ ՀԱՆՐԱՊԵՏՈՒԹՅԱՆ ՕՐԵՆՔԻ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ՕՐԵՆՔԸ </w:t>
      </w:r>
    </w:p>
    <w:p>
      <w:pPr/>
      <w:r>
        <w:rPr>
          <w:b w:val="1"/>
          <w:bCs w:val="1"/>
        </w:rPr>
        <w:t xml:space="preserve">«ԳՈՎԱԶԴԻ ՄԱՍԻՆ</w:t>
      </w:r>
      <w:r>
        <w:rPr>
          <w:b w:val="1"/>
          <w:bCs w:val="1"/>
        </w:rPr>
        <w:t xml:space="preserve">» ՀԱՅԱՍ­ՏԱՆԻ ՀԱՆՐԱՊԵՏՈՒԹՅԱՆ ՕՐԵՆՔՈՒՄ ՓՈՓՈԽՈՒԹՅՈՒՆ ԵՎ ԼՐԱՑՈՒՄ ԿԱ­ՏԱ­ՐԵ­ԼՈՒ ՄԱ­ՍԻՆ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«Գովազդի մասին» Հայաս­տանի Հանրապետության 1996 թվականի ապրիլի 30-ի ՀՕ-55 օրենքում (այսուհետ` Օրենք) 11-րդ հոդվածը շարադրել հետևյալ բովանդակությամբ.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«Հոդված 11.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Արտաքին գովազդ</w:t>
            </w:r>
          </w:p>
        </w:tc>
      </w:tr>
    </w:tbl>
    <w:p>
      <w:pPr/>
      <w:r>
        <w:rPr/>
        <w:t xml:space="preserve">Արտաքին գովազդը, բացառությամբ սույն օրենքի 11.1-րդ հոդվածով սահմանված դեպքերի, գրաֆիկական, տեքստային կամ այլ գովազդային բնույթի տեղեկատվություն է, որը տեղադրվում է շենքերի, շինությունների, ոչ հիմնական շինությունների, փողոցային կահավորանքների մասերի վրա:</w:t>
      </w:r>
    </w:p>
    <w:p>
      <w:pPr/>
      <w:r>
        <w:rPr/>
        <w:t xml:space="preserve">Արտաքին գովազդ տեղադրելու թույլտվություն տալիս են`</w:t>
      </w:r>
    </w:p>
    <w:p>
      <w:pPr/>
      <w:r>
        <w:rPr/>
        <w:t xml:space="preserve">Երևան քաղաքում` Երևանի քաղաքապետը, այդ թվում` Երևան քաղաքի տարածքում գտնվող` Հայաստանի Հանրապետության ընդհանուր օգտագործման միջպետական և հանրապետական նշանակության ավտոմոբիլային ճանապարհների մաս հանդիսացող հատվածների օտարման շերտերում և պաշտպանական գոտիներում տեղադրվող գովազդների.</w:t>
      </w:r>
    </w:p>
    <w:p>
      <w:pPr/>
      <w:r>
        <w:rPr/>
        <w:t xml:space="preserve">այլ համայնքներում` համայնքի ղեկավարը` բացառությամբ միջպետական և հանրապետական նշանակության ավտոմոբիլային ճանապարհների օտարման շերտերում և պաշտպանական գոտիներում տեղադրվող գովազդների.</w:t>
      </w:r>
    </w:p>
    <w:p>
      <w:pPr/>
      <w:r>
        <w:rPr/>
        <w:t xml:space="preserve">միջպետական և հանրապետական նշանակության ավտոմոբիլային ճանապարհների տարանցիկ հատվածներում, միջպետական և հանրապետական նշանակության ավտոմոբիլային ճանապարհների օտարման շերտերում և պաշտպանական գոտիներում` բացառությամբ Երևան քաղաքի, Հայաստանի Հանրապետության կողմից լիազորված պետական կառավարման մարմինները` Հայաստանի Հանրապետության կառավարության կողմից սահմանված կարգին համապատասխան:</w:t>
      </w:r>
    </w:p>
    <w:p>
      <w:pPr/>
      <w:r>
        <w:rPr/>
        <w:t xml:space="preserve">Արտաքին գովազդի ծավալը, քանակությունը, տեղաբաշխման կարգն ու պայմանները որոշվում են.</w:t>
      </w:r>
    </w:p>
    <w:p>
      <w:pPr/>
      <w:r>
        <w:rPr/>
        <w:t xml:space="preserve">Երևան քաղաքում` Երևանի տեղական ինքնակառավարման մարմինները, այդ թվում` Երևան քաղաքի տարածքում գտնվող` ՀՀ ընդհանուր օգտագործման միջպետական և հանրապետական նշանակության ավտոմոբիլային ճանապարհների մաս հանդիսացող հատվածների օտարման շերտերում և պաշտպանական գոտիներում տեղադրվող գովազդների.</w:t>
      </w:r>
    </w:p>
    <w:p>
      <w:pPr/>
      <w:r>
        <w:rPr/>
        <w:t xml:space="preserve">Այլ   համայնքներում` տվյալ համայնքի տեղական ինքնակառավարման մարմինները, բացառությամբ` միջպետական և հանրապետական նշանակության  ավտոմոբիլային ճանապարհների օտարման շերտերում և պաշտպանական գոտիներում տեղադրվող գովազդների.</w:t>
      </w:r>
    </w:p>
    <w:p>
      <w:pPr/>
      <w:r>
        <w:rPr/>
        <w:t xml:space="preserve">միջպետական և հանրապետական նշանակության  ավտոմոբիլային ճանապարհների օտարման շերտերում և պաշտպանական գոտիներում գովազդ տեղադրելու թույլտվությունների տրամադրման կարգը սահմանում է ՀՀ կառավարությունը:</w:t>
      </w:r>
    </w:p>
    <w:p>
      <w:pPr/>
      <w:r>
        <w:rPr/>
        <w:t xml:space="preserve">Արգելվում է գովազդ տեղադրել թանգարաններում, պատմական և ճարտարապետական հուշարձանների ներսում, ինչպես նաև պետական իշխանության և տեղական ինքնակառավարման մարմինների շենքերում և նրանց տարածքում:»: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Օրենքը լրացնել նոր 11.1 հոդվածով հետևյալ բովանդակությամբ ՝</w:t>
      </w:r>
    </w:p>
    <w:p>
      <w:pPr/>
      <w:r>
        <w:rPr/>
        <w:t xml:space="preserve">       «Հոդված 11.1 Արտաքին գովազդ չհամարվող տեղեկությունները</w:t>
      </w:r>
    </w:p>
    <w:p>
      <w:pPr/>
      <w:r>
        <w:rPr/>
        <w:t xml:space="preserve">       Արտաքին գովազդ չեն համարվում.</w:t>
      </w:r>
    </w:p>
    <w:p>
      <w:pPr>
        <w:numPr>
          <w:ilvl w:val="0"/>
          <w:numId w:val="2"/>
        </w:numPr>
      </w:pPr>
      <w:r>
        <w:rPr/>
        <w:t xml:space="preserve">շինությունների դրսից երևացող, սակայն ներսում տեղակայված գովազդը, որը պարունակում է տվյալ տնտեսավարող սուբյեկտի կողմից վաճառվող ապրանքների կամ մատուցվող ծառայությունների վերաբերյալ տեղեկություններ`</w:t>
      </w:r>
    </w:p>
    <w:p>
      <w:pPr>
        <w:numPr>
          <w:ilvl w:val="0"/>
          <w:numId w:val="2"/>
        </w:numPr>
      </w:pPr>
      <w:r>
        <w:rPr/>
        <w:t xml:space="preserve">տնտեսավարողի կողմից իրացվող ապրանքների, ծառայությունների, դրանց անվանման, տեսականու, ապրանքային նշանի, կոնտակտային տվյալների վերաբերյալ տեղեկություններ պարունակող` ՀՀ կառավարության կողմից հաստատված չափանիշներին համապատասխանող ցուցանակները, որոնք փակցված են այն շինության վրա, որտեղ իրացվում են տվյալ ապրանքները (ծառայությունները),</w:t>
      </w:r>
    </w:p>
    <w:p>
      <w:pPr>
        <w:numPr>
          <w:ilvl w:val="0"/>
          <w:numId w:val="2"/>
        </w:numPr>
      </w:pPr>
      <w:r>
        <w:rPr/>
        <w:t xml:space="preserve">Տրանսպորտային միջոցների վրա այն տնտեսական գործունեություն իրականացնողի անվանման, գտնվելու վայրի (բնակության վայրի) և այլ կոնտակտային տվյալների վերաբերյալ տեղեկությունները, որին պատկանում է տվյալ տրանսպորտային միջոցը:</w:t>
      </w:r>
    </w:p>
    <w:p>
      <w:pPr>
        <w:numPr>
          <w:ilvl w:val="0"/>
          <w:numId w:val="2"/>
        </w:numPr>
      </w:pPr>
      <w:r>
        <w:rPr/>
        <w:t xml:space="preserve">Տվյալ տնտեսավարողի կողմից ընդունվող վճարահաշվարկային համակարգերի, տվյալ ոլորտի վարկանիշային կազմակերպությունների, նվեր-քարտերի մասին  տեղեկությունները:»: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Oրենքն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</w:t>
      </w:r>
    </w:p>
    <w:p>
      <w:pPr/>
      <w:r>
        <w:rPr>
          <w:b w:val="1"/>
          <w:bCs w:val="1"/>
        </w:rPr>
        <w:t xml:space="preserve">ՏՆՏԵՍԱԿԱՆ ԶԱՐԳԱՑՄԱՆ ԵՎ</w:t>
      </w:r>
    </w:p>
    <w:p>
      <w:pPr/>
      <w:r>
        <w:rPr>
          <w:b w:val="1"/>
          <w:bCs w:val="1"/>
        </w:rPr>
        <w:t xml:space="preserve"> ՆԵՐԴՐՈՒՄՆԵՐԻ ՆԱԽԱՐԱՐ                                                  ՍՈՒՐԵՆ ԿԱՐԱՅԱՆ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DF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2026-04-03T17:56:25+04:00</dcterms:created>
  <dcterms:modified xsi:type="dcterms:W3CDTF">2026-04-03T17:56:25+04:00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