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«ՎԱՐՉԱԿԱՆ ԻՐԱՎԱԽԱԽՏՈՒՄՆԵՐԻ  ՎԵՐԱԲԵՐՅԱԼ ՀԱՅԱՍՏԱՆԻ ՀԱՆՐԱՊԵՏՈՒԹՅԱՆ ՕՐԵՆՍԳՐՔՈՒՄ ԼՐԱՑՈՒՄՆԵՐ ԿԱՏԱՐԵԼՈՒ ՄԱՍԻՆ» 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ՀԱՅԱՍՏԱՆԻ ՀԱՆՐԱՊԵՏՈՒԹՅԱՆ</w:t>
      </w:r>
    </w:p>
    <w:p>
      <w:pPr>
        <w:jc w:val="center"/>
      </w:pPr>
      <w:r>
        <w:rPr/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ՎԱՐՉԱԿԱՆ ԻՐԱՎԱԽԱԽՏՈՒՄՆԵՐԻ  ՎԵՐԱԲԵՐՅԱԼ ՀԱՅԱՍՏԱՆԻ ՀԱՆՐԱՊԵՏՈՒԹՅԱՆ ՕՐԵՆՍԳՐՔՈՒՄ ԼՐԱՑՈՒՄՆԵՐ 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Վարչական իրավախախտումների վերաբերյալ Հայաստանի Հանրապետության օրենսգրքի 11-րդ գլուխը </w:t>
      </w:r>
      <w:r>
        <w:rPr>
          <w:b w:val="1"/>
          <w:bCs w:val="1"/>
        </w:rPr>
        <w:t xml:space="preserve">լրացնել 157</w:t>
      </w:r>
      <w:r>
        <w:rPr>
          <w:b w:val="1"/>
          <w:bCs w:val="1"/>
          <w:vertAlign w:val="superscript"/>
        </w:rPr>
        <w:t xml:space="preserve">16 </w:t>
      </w:r>
      <w:r>
        <w:rPr/>
        <w:t xml:space="preserve">հոդվածով՝ հետևյալ բովանդակությամբ.</w:t>
      </w:r>
    </w:p>
    <w:p>
      <w:pPr>
        <w:jc w:val="both"/>
      </w:pPr>
      <w:r>
        <w:rPr/>
        <w:t xml:space="preserve">«</w:t>
      </w:r>
      <w:r>
        <w:rPr>
          <w:b w:val="1"/>
          <w:bCs w:val="1"/>
        </w:rPr>
        <w:t xml:space="preserve">Հոդված 157</w:t>
      </w:r>
      <w:r>
        <w:rPr>
          <w:b w:val="1"/>
          <w:bCs w:val="1"/>
          <w:vertAlign w:val="superscript"/>
        </w:rPr>
        <w:t xml:space="preserve">16</w:t>
      </w:r>
      <w:r>
        <w:rPr>
          <w:b w:val="1"/>
          <w:bCs w:val="1"/>
        </w:rPr>
        <w:t xml:space="preserve">. Բ</w:t>
      </w:r>
      <w:r>
        <w:rPr>
          <w:b w:val="1"/>
          <w:bCs w:val="1"/>
        </w:rPr>
        <w:t xml:space="preserve">նակավայրերի</w:t>
      </w:r>
      <w:r>
        <w:rPr/>
        <w:t xml:space="preserve"> </w:t>
      </w:r>
      <w:r>
        <w:rPr>
          <w:b w:val="1"/>
          <w:bCs w:val="1"/>
        </w:rPr>
        <w:t xml:space="preserve">նախագծման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կառուցապատման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հանրային</w:t>
      </w:r>
      <w:r>
        <w:rPr/>
        <w:t xml:space="preserve"> </w:t>
      </w:r>
      <w:r>
        <w:rPr>
          <w:b w:val="1"/>
          <w:bCs w:val="1"/>
        </w:rPr>
        <w:t xml:space="preserve">նշանակության</w:t>
      </w:r>
      <w:r>
        <w:rPr/>
        <w:t xml:space="preserve"> </w:t>
      </w:r>
      <w:r>
        <w:rPr>
          <w:b w:val="1"/>
          <w:bCs w:val="1"/>
        </w:rPr>
        <w:t xml:space="preserve">շենքերի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շինությունների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տրանսպորտային</w:t>
      </w:r>
      <w:r>
        <w:rPr/>
        <w:t xml:space="preserve"> </w:t>
      </w:r>
      <w:r>
        <w:rPr>
          <w:b w:val="1"/>
          <w:bCs w:val="1"/>
        </w:rPr>
        <w:t xml:space="preserve">համակարգի</w:t>
      </w:r>
      <w:r>
        <w:rPr/>
        <w:t xml:space="preserve"> </w:t>
      </w:r>
      <w:r>
        <w:rPr>
          <w:b w:val="1"/>
          <w:bCs w:val="1"/>
        </w:rPr>
        <w:t xml:space="preserve">շինարարության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վերակառուցման դեպքում</w:t>
      </w:r>
      <w:r>
        <w:rPr/>
        <w:t xml:space="preserve"> </w:t>
      </w:r>
      <w:r>
        <w:rPr>
          <w:b w:val="1"/>
          <w:bCs w:val="1"/>
        </w:rPr>
        <w:t xml:space="preserve">մատչելիության նորմերը չպահպանելը</w:t>
      </w:r>
    </w:p>
    <w:p>
      <w:pPr>
        <w:jc w:val="both"/>
      </w:pPr>
      <w:r>
        <w:rPr>
          <w:b w:val="1"/>
          <w:bCs w:val="1"/>
        </w:rPr>
        <w:t xml:space="preserve">Բ</w:t>
      </w:r>
      <w:r>
        <w:rPr/>
        <w:t xml:space="preserve">նակավայրերի նախագծման ու կառուցապատման, հանրային նշանակության շենքերի և շինությունների, տրանսպորտային համակարգի շինարարության  ու վերակառուցման դեպքում մատչելիության նորմերը չպահպանելը՝</w:t>
      </w:r>
    </w:p>
    <w:p>
      <w:pPr>
        <w:jc w:val="both"/>
      </w:pPr>
      <w:r>
        <w:rPr/>
        <w:t xml:space="preserve">առաջացնում է տուգանքի նշանակում՝ սահմանված նվազագույն աշխատավարձի երկուհարյուրհիսունապատիկի չափով:»: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Վարչական իրավախախտումների վերաբերյալ Հայաստանի Հանրապետության օրենսգրքի 5-րդ գլուխը լրացնել </w:t>
      </w:r>
      <w:r>
        <w:rPr>
          <w:b w:val="1"/>
          <w:bCs w:val="1"/>
        </w:rPr>
        <w:t xml:space="preserve">43.2</w:t>
      </w:r>
      <w:r>
        <w:rPr/>
        <w:t xml:space="preserve"> հոդվածով՝ հետևյալ բովանդակությամբ.</w:t>
      </w:r>
    </w:p>
    <w:p>
      <w:pPr/>
      <w:r>
        <w:rPr/>
        <w:t xml:space="preserve">43.2  </w:t>
      </w:r>
      <w:r>
        <w:rPr>
          <w:b w:val="1"/>
          <w:bCs w:val="1"/>
        </w:rPr>
        <w:t xml:space="preserve">Հեռուստաընկերությունների կողմից լսողության խնդիրներ ունեցող անձանց</w:t>
      </w:r>
      <w:r>
        <w:rPr>
          <w:b w:val="1"/>
          <w:bCs w:val="1"/>
        </w:rPr>
        <w:t xml:space="preserve"> համար  </w:t>
      </w:r>
      <w:r>
        <w:rPr>
          <w:b w:val="1"/>
          <w:bCs w:val="1"/>
        </w:rPr>
        <w:t xml:space="preserve">տեղեկատվության մատչելիության նվազագույն</w:t>
      </w:r>
      <w:r>
        <w:rPr/>
        <w:t xml:space="preserve"> </w:t>
      </w:r>
      <w:r>
        <w:rPr>
          <w:b w:val="1"/>
          <w:bCs w:val="1"/>
        </w:rPr>
        <w:t xml:space="preserve">պահանջները չապահովելը</w:t>
      </w:r>
    </w:p>
    <w:p>
      <w:pPr>
        <w:jc w:val="both"/>
      </w:pPr>
      <w:r>
        <w:rPr/>
        <w:t xml:space="preserve">Հեռուստաընկերությունների կողմից իրենց ծրագրերում լսողության խնդիրներ ունեցող անձանց տեղեկատվության  մատչելիության նվազագույն պահանջները չապահովելը՝</w:t>
      </w:r>
    </w:p>
    <w:p>
      <w:pPr>
        <w:jc w:val="both"/>
      </w:pPr>
      <w:r>
        <w:rPr/>
        <w:t xml:space="preserve">առաջացնում է տուգանքի նշանակում՝ սահմանված նվազագույն աշխատավարձի հիսնապատիկի չափով:»:</w:t>
      </w:r>
    </w:p>
    <w:p>
      <w:pPr/>
      <w:r>
        <w:rPr>
          <w:b w:val="1"/>
          <w:bCs w:val="1"/>
        </w:rPr>
        <w:t xml:space="preserve">Հոդված 3</w:t>
      </w:r>
      <w:r>
        <w:rPr/>
        <w:t xml:space="preserve">. Սույն օրենքն ուժի մեջ է մտնում պաշտոնական հրապարակման օրվան հաջորդող տասներորդ օրը, բացառությամբ 2-րդ հոդվածի, որն ուժի մեջ է մտնում 2021 թվականի սեպտեմբերի 1-ից:</w:t>
      </w:r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ՀԱՅԱՍՏԱՆԻ ՀԱՆՐԱՊԵՏՈՒԹՅԱՆ</w:t>
      </w:r>
    </w:p>
    <w:p>
      <w:pPr>
        <w:jc w:val="center"/>
      </w:pPr>
      <w:r>
        <w:rPr/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ՎԱՐՉԱԿԱՆ ԴԱՏԱՎԱՐՈՒԹՅԱՆ ՕՐԵՆՍԳ</w:t>
      </w:r>
      <w:r>
        <w:rPr>
          <w:b w:val="1"/>
          <w:bCs w:val="1"/>
        </w:rPr>
        <w:t xml:space="preserve">ՐՔՈՒՄ ՓՈՓՈԽՈՒԹՅՈՒՆ ԵՎ ԼՐԱՑՈՒՄՆԵՐ ԿԱՏԱՐԵԼՈՒ ՄԱՍԻՆ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 վարչական դատավարության օրենսգ</w:t>
      </w:r>
      <w:r>
        <w:rPr>
          <w:b w:val="1"/>
          <w:bCs w:val="1"/>
        </w:rPr>
        <w:t xml:space="preserve">րքի 29.3 գլխում 216.6 հոդվածի 1-ին մասում </w:t>
      </w:r>
      <w:r>
        <w:rPr/>
        <w:t xml:space="preserve">«ոլորտում» բառը փոխարինել «և հաշմանդամություն ունեցող անձանց իրավունքների պաշտպանության ոլորտներում» բառերով: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 վարչական դատավարության օրենսգ</w:t>
      </w:r>
      <w:r>
        <w:rPr>
          <w:b w:val="1"/>
          <w:bCs w:val="1"/>
        </w:rPr>
        <w:t xml:space="preserve">րքի 29.3 գլխի 216.6 հոդվածը լրացնել հետևյալ բովանդակությամբ 3-րդ և 4-րդ մասերով՝ </w:t>
      </w:r>
    </w:p>
    <w:p>
      <w:pPr>
        <w:jc w:val="both"/>
      </w:pPr>
      <w:r>
        <w:rPr/>
        <w:t xml:space="preserve">«3.    Հասարակական կազմակերպությունը սույն հոդվածի 1-ին մասով սահմանված՝ հաշմանդամություն ունեցող անձանց իրավունքների պաշտպանության ոլորտից բխող հարցերով կարող է հայց ներկայացնել, եթե համարվում է հաշմանդամություն ունեցող անձանց ներկայացնող կազմակերպություն (նրա կանոնադրությամբ հաշմանդամություն ունեցող անձանց իրավունքների պաշտպանությունը սահմանված է որպես նպատակ և անդամների պարզ մեծամասնությունը հաշմանդամություն ունեցող անձինք են) և հայց ներկայացնելու պահին նախորդող առնվազն երկու տարվա ընթացքում գործունեություն է ծավալել հաշմանդամություն ունեցող անձանց իրավունքների պաշտպանության ոլորտում։</w:t>
      </w:r>
    </w:p>
    <w:p>
      <w:pPr>
        <w:numPr>
          <w:ilvl w:val="0"/>
          <w:numId w:val="2"/>
        </w:numPr>
      </w:pPr>
      <w:r>
        <w:rPr/>
        <w:t xml:space="preserve">Հաշմանդամություն ունեցող անձանց ներկայացնող հասարակական կազմակերպությունը հաշմանդամություն ունեցող անձանց իրավունքների պաշտպանության ոլորտից բխող հարցերով կարող է հայց ներկայացնել հետևյալ դեպքերում՝</w:t>
      </w:r>
    </w:p>
    <w:p>
      <w:pPr>
        <w:numPr>
          <w:ilvl w:val="1"/>
          <w:numId w:val="2"/>
        </w:numPr>
      </w:pPr>
      <w:r>
        <w:rPr/>
        <w:t xml:space="preserve">խախտվել է հաշմանդամություն ունեցող անձանց խմբերի՝ հաշմանդամության հիմքով խտրականությունից պաշտպանելու իրավունքը,</w:t>
      </w:r>
    </w:p>
    <w:p>
      <w:pPr>
        <w:numPr>
          <w:ilvl w:val="1"/>
          <w:numId w:val="2"/>
        </w:numPr>
      </w:pPr>
      <w:r>
        <w:rPr/>
        <w:t xml:space="preserve">խախտվել է հաշմանդամություն ունեցող անձի խտրականությունից պաշտպանվելու իրավունքը և, որը, ելնելով առողջական վիճակից կամ այլ հանգամանքից չի կարող անձամբ ներկայացնել իր իրավունքները և օրինական շահերը դատարանում:»: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F261E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2026-03-31T07:36:31+04:00</dcterms:created>
  <dcterms:modified xsi:type="dcterms:W3CDTF">2026-03-31T07:36:31+04:00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