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ԱՐԴԱՐԱԴԱՏՈՒԹՅԱՆ ՆԱԽԱՐԱՐԻ 2013 ԹՎԱԿԱՆԻ ՄԱՅԻՍԻ 13-Ի N 85-Ն ՆՈՐՄԱՏԻՎ ՀՐԱՄԱՆՈՒՄ ԼՐԱՑՈՒՄ ԿԱՏԱՐԵԼՈՒ ՄԱՍԻՆ ՀՐԱՄԱՆ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ԱՐԴԱՐԱԴԱՏՈՒԹՅԱՆ ՆԱԽԱՐԱՐԻ </w:t>
      </w:r>
      <w:r>
        <w:rPr>
          <w:b w:val="1"/>
          <w:bCs w:val="1"/>
        </w:rPr>
        <w:t xml:space="preserve">2013 ԹՎԱԿԱՆԻ ՄԱՅԻՍԻ 13-Ի </w:t>
      </w:r>
      <w:r>
        <w:rPr>
          <w:b w:val="1"/>
          <w:bCs w:val="1"/>
        </w:rPr>
        <w:t xml:space="preserve">N 85-Ն </w:t>
      </w:r>
      <w:r>
        <w:rPr>
          <w:b w:val="1"/>
          <w:bCs w:val="1"/>
        </w:rPr>
        <w:t xml:space="preserve">ՆՈՐՄԱՏԻՎ </w:t>
      </w:r>
      <w:r>
        <w:rPr>
          <w:b w:val="1"/>
          <w:bCs w:val="1"/>
        </w:rPr>
        <w:t xml:space="preserve">ՀՐԱՄԱՆՈՒՄ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ՀՐԱՄԱՆ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Ղեկավարվելով «Նորմատիվ իրավական ակտերի մասին» օրենքի 34-րդ հոդվածով.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</w:t>
      </w:r>
      <w:r>
        <w:rPr/>
        <w:t xml:space="preserve"> </w:t>
      </w:r>
      <w:r>
        <w:rPr>
          <w:b w:val="1"/>
          <w:bCs w:val="1"/>
        </w:rPr>
        <w:t xml:space="preserve">ԵՄ՝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արդարադատության նախարարի 2013 թվականի մայիսի 13-ի Իրավաբանական անձանց պետական միասնական գրանցամատյանի տեղեկություններից օգտվելու կարգը, պետական միասնական գրանցամատյանից տրամադրվող քաղվածքների ձևերը հաստատելու, ինչպես նաև Հայաստանի Հանրապետության արդարադատության նախարարի 2011 թվականի հոկտեմբերի 17-ի N 168-Ն հրամանը ուժը կորցրած ճանաչելու մասին N 85-Ն նորմատիվ հրամանի Հավելված N 1-ը լրացնել հետևյալ բովանդակությամբ 3.1 մասով.</w:t>
      </w:r>
    </w:p>
    <w:p>
      <w:pPr>
        <w:jc w:val="both"/>
      </w:pPr>
      <w:r>
        <w:rPr/>
        <w:t xml:space="preserve">3.1 օտարերկրյա իրավաբանական անձի ռեդոմիցիլացված լինելու դեպքում տրվող քաղվածքը, ի լրումն սույն հրամանի N 4-13 Հավելվածներում թվարկված տեղեկությունների, բովանդակում է ռեդոմիցիլացման մասին հետևյալ տեղեկությունները.</w:t>
      </w:r>
    </w:p>
    <w:p>
      <w:pPr>
        <w:jc w:val="both"/>
      </w:pPr>
      <w:r>
        <w:rPr/>
        <w:t xml:space="preserve">օտարերկրյա պետությունում գրանցման համարը</w:t>
      </w:r>
    </w:p>
    <w:p>
      <w:pPr>
        <w:jc w:val="both"/>
      </w:pPr>
      <w:r>
        <w:rPr/>
        <w:t xml:space="preserve">օտարերկրյա պետությունում գրանցման ամսաթիվը</w:t>
      </w:r>
    </w:p>
    <w:p>
      <w:pPr>
        <w:jc w:val="both"/>
      </w:pPr>
      <w:r>
        <w:rPr/>
        <w:t xml:space="preserve">օտարերկրյա պետության գրանցումից դուրս գալու ամսաթիվը</w:t>
      </w:r>
    </w:p>
    <w:p>
      <w:pPr>
        <w:jc w:val="both"/>
      </w:pPr>
      <w:r>
        <w:rPr/>
        <w:t xml:space="preserve">oտարերկրյա իրավաբանական անձի և այդ անձի կողմից իրականացվող գործունեության տեսակների դասակարգման, կոդավորման մասին տվյալներ՝ առկայության դեպքում,</w:t>
      </w:r>
    </w:p>
    <w:p>
      <w:pPr>
        <w:jc w:val="both"/>
      </w:pPr>
      <w:r>
        <w:rPr/>
        <w:t xml:space="preserve">oտարերկրյա իրավաբանական անձի հարկ վճարողի և սոցիալական վճարների պարտավորվածությամբ ծանրաբեռնվածության վերաբերյալ տվյալներ՝ առկայության դեպքում:</w:t>
      </w:r>
    </w:p>
    <w:p>
      <w:pPr>
        <w:numPr>
          <w:ilvl w:val="0"/>
          <w:numId w:val="3"/>
        </w:numPr>
      </w:pPr>
      <w:r>
        <w:rPr/>
        <w:t xml:space="preserve">Սույն հրամանն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E06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B6A6A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2026-04-03T18:46:03+04:00</dcterms:created>
  <dcterms:modified xsi:type="dcterms:W3CDTF">2026-04-03T18:46:03+04:00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