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ԱՅԱՍՏԱՆԻ ՀԱՆՐԱՊԵՏՈՒԹՅԱՆ ԱԶԳԱՅԻՆ ԺՈՂՈՎԻ ԱՇԽԱՏԱԿԱԶՄՈՒՄ ՊԵՏԱԿԱՆ ԾԱՌԱՅՈՒԹՅԱՆ ՄԱՍԻՆ» ՀԱՅԱՍՏԱՆԻ ՀԱՆՐԱՊԵՏՈՒԹՅԱՆ ՕՐԵՆՔՈՒՄ ՓՈՓՈԽՈՒԹՅՈՒՆՆԵՐ ԿԱՏԱՐԵԼՈՒ ՄԱՍԻՆ</w:t></w:r><w:bookmarkEnd w:id="0"/></w:p><w:p><w:pPr><w:jc w:val="end"/></w:pPr><w:r><w:rPr><w:b w:val="1"/><w:bCs w:val="1"/></w:rPr><w:t xml:space="preserve"> </w:t></w:r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ԱԶԳԱՅԻՆ ԺՈՂՈՎԻ ԱՇԽԱՏԱԿԱԶՄՈՒՄ ՊԵՏԱԿԱՆ ԾԱՌԱՅՈՒԹՅԱՆ ՄԱՍԻՆ» ՀԱՅԱՍՏԱՆԻ ՀԱՆՐԱՊԵՏՈՒԹՅԱՆ ՕՐԵՆՔՈՒՄ ՓՈՓՈԽՈՒԹՅՈՒՆՆԵՐ ԿԱՏԱՐԵԼՈՒ ՄԱՍԻՆ</w:t></w:r></w:p><w:p><w:pPr><w:jc w:val="center"/></w:pPr><w:r><w:rPr/><w:t xml:space="preserve"> </w:t></w:r></w:p><w:p><w:pPr/><w:r><w:rPr><w:b w:val="1"/><w:bCs w:val="1"/></w:rPr><w:t xml:space="preserve">Հոդված 1.</w:t></w:r><w:r><w:rPr><w:b w:val="1"/><w:bCs w:val="1"/></w:rPr><w:t xml:space="preserve"> </w:t></w:r><w:r><w:rPr/><w:t xml:space="preserve">«Հայաստանի Հանրապետության Ազգային ժողովի աշխատակազմում պետական ծառայության մասին» Հայաստանի Հանրապետության 2009 թվականի հունիսի 11-ի ՀՕ-158-Ն օրենքի (այսուհետ` Օրենք)  վերնագիրը շարադրել հետևյալ խմբագրությամբ</w:t></w:r></w:p><w:p><w:pPr/><w:r><w:rPr/><w:t xml:space="preserve"><<«ՀԱՅԱՍՏԱՆԻ ՀԱՆՐԱՊԵՏՈՒԹՅԱՆ ԱԶԳԱՅԻՆ ԺՈՂՈՎԻ ԱՇԽԱՏԱԿԱԶՄՈՒՄ ԾԱՌԱՅՈՒԹՅԱՆ ԱՌԱՆՁՆԱՀԱՏԿՈՒԹՅՈՒՆՆԵՐԻ ՄԱՍԻՆ» ՀԱՅԱՍՏԱՆԻ ՀԱՆՐԱՊԵՏՈՒԹՅԱՆ ՕՐԵՆՔ>></w:t></w:r></w:p><w:p><w:pPr/><w:r><w:rPr><w:b w:val="1"/><w:bCs w:val="1"/></w:rPr><w:t xml:space="preserve">Հոդված 2.</w:t></w:r><w:r><w:rPr><w:b w:val="1"/><w:bCs w:val="1"/></w:rPr><w:t xml:space="preserve"> </w:t></w:r><w:r><w:rPr/><w:t xml:space="preserve">Օրենքի 1-ին հոդվածը շարադրել նոր խմբագրությամբ՝ հետևյալ բովանդակությամբ.</w:t></w:r></w:p><w:p><w:pPr/><w:r><w:rPr/><w:t xml:space="preserve">«1. Սույն օրենքով սահմանվում են Հայաստանի Հանրապետության Ազգային ժողովի աշխատակազմում (այսուհետ` Աշխատակազմ) քաղաքացիական ծառայության առանձնահատկությունները:»</w:t></w:r></w:p><w:p><w:pPr/><w:r><w:rPr><w:b w:val="1"/><w:bCs w:val="1"/></w:rPr><w:t xml:space="preserve">Հոդված 3.</w:t></w:r><w:r><w:rPr><w:b w:val="1"/><w:bCs w:val="1"/></w:rPr><w:t xml:space="preserve"> </w:t></w:r><w:r><w:rPr/><w:t xml:space="preserve"> Օրենքի 2-րդ հոդվածի 1-ին մասը շարադրել նոր խմբագրությամբ՝ հետևյալ բովանդակությամբ.</w:t></w:r></w:p><w:p><w:pPr/><w:r><w:rPr/><w:t xml:space="preserve">«1. Աշխատակազմում ծառայությունը քաղաքացիական ծառայություն է, որի իրականացման հետ կապված հարաբերությունները կարգավորվում են «Քաղաքացիական ծառայության մասին» Հայաստանի Հանրապետության օրենքով՝ սույն օրենքով սահմանված առանձնահատկությունների հաշվառմամբ:»:</w:t></w:r></w:p><w:p><w:pPr/><w:r><w:rPr><w:b w:val="1"/><w:bCs w:val="1"/></w:rPr><w:t xml:space="preserve">Հոդված 4.</w:t></w:r><w:r><w:rPr><w:b w:val="1"/><w:bCs w:val="1"/></w:rPr><w:t xml:space="preserve"> </w:t></w:r><w:r><w:rPr/><w:t xml:space="preserve"> Օրենքի 3-րդ հոդվածը շարադրել նոր խմբագրությամբ՝ հետևյալ բովանդակությամբ.</w:t></w:r></w:p><w:p><w:pPr/><w:r><w:rPr/><w:t xml:space="preserve">«</w:t></w:r><w:r><w:rPr><w:b w:val="1"/><w:bCs w:val="1"/></w:rPr><w:t xml:space="preserve">Հոդված 3.</w:t></w:r><w:r><w:rPr><w:b w:val="1"/><w:bCs w:val="1"/></w:rPr><w:t xml:space="preserve"> </w:t></w:r><w:r><w:rPr/><w:t xml:space="preserve"> </w:t></w:r><w:r><w:rPr><w:b w:val="1"/><w:bCs w:val="1"/></w:rPr><w:t xml:space="preserve"> Պաշտոնների անձնագրերի հաստատման առանձնահատկությունները</w:t></w:r></w:p><w:p><w:pPr><w:numPr><w:ilvl w:val="0"/><w:numId w:val="2"/></w:numPr></w:pPr><w:r><w:rPr/><w:t xml:space="preserve">Քաղաքացիական ծառայության գրասենյակի համաձայնությունն ստանալուց հետո Ազգային ժողովի նախագահը հաստատում է Ազգային ժողովի աշխատակազմի քաղաքացիական ծառայողների պաշտոնների անձնագրերը։»:</w:t></w:r></w:p><w:p><w:pPr/><w:r><w:rPr><w:b w:val="1"/><w:bCs w:val="1"/></w:rPr><w:t xml:space="preserve">Հոդված 5.</w:t></w:r><w:r><w:rPr><w:b w:val="1"/><w:bCs w:val="1"/></w:rPr><w:t xml:space="preserve"> </w:t></w:r><w:r><w:rPr/><w:t xml:space="preserve"> Օրենքի 4-րդ հոդվածը շարադրել նոր խմբագրությամբ՝ հետևյալ բովանդակությամբ.</w:t></w:r></w:p><w:p><w:pPr/><w:r><w:rPr><w:b w:val="1"/><w:bCs w:val="1"/></w:rPr><w:t xml:space="preserve">Հոդված 4.</w:t></w:r><w:r><w:rPr><w:b w:val="1"/><w:bCs w:val="1"/></w:rPr><w:t xml:space="preserve"> </w:t></w:r><w:r><w:rPr/><w:t xml:space="preserve"> </w:t></w:r><w:r><w:rPr><w:b w:val="1"/><w:bCs w:val="1"/></w:rPr><w:t xml:space="preserve">Համակարգող</w:t></w:r><w:r><w:rPr/><w:t xml:space="preserve"> </w:t></w:r><w:r><w:rPr><w:b w:val="1"/><w:bCs w:val="1"/></w:rPr><w:t xml:space="preserve">փորձագետի</w:t></w:r><w:r><w:rPr/><w:t xml:space="preserve"> </w:t></w:r><w:r><w:rPr><w:b w:val="1"/><w:bCs w:val="1"/></w:rPr><w:t xml:space="preserve">և</w:t></w:r><w:r><w:rPr/><w:t xml:space="preserve"> </w:t></w:r><w:r><w:rPr><w:b w:val="1"/><w:bCs w:val="1"/></w:rPr><w:t xml:space="preserve">մյուս</w:t></w:r><w:r><w:rPr/><w:t xml:space="preserve"> </w:t></w:r><w:r><w:rPr><w:b w:val="1"/><w:bCs w:val="1"/></w:rPr><w:t xml:space="preserve">փորձագետների</w:t></w:r><w:r><w:rPr><w:b w:val="1"/><w:bCs w:val="1"/></w:rPr><w:t xml:space="preserve"> (</w:t></w:r><w:r><w:rPr><w:b w:val="1"/><w:bCs w:val="1"/></w:rPr><w:t xml:space="preserve">մասնագետների</w:t></w:r><w:r><w:rPr><w:b w:val="1"/><w:bCs w:val="1"/></w:rPr><w:t xml:space="preserve">)</w:t></w:r><w:r><w:rPr><w:b w:val="1"/><w:bCs w:val="1"/></w:rPr><w:t xml:space="preserve"> պաշտոնների  առանձնահատկությունները</w:t></w:r></w:p><w:p><w:pPr><w:numPr><w:ilvl w:val="0"/><w:numId w:val="3"/></w:numPr></w:pPr><w:r><w:rPr/><w:t xml:space="preserve">Համակարգող փորձագետի և մյուս փորձագետների պաշտոնների անձնագրերի նախագծերը կազմելիս կրթության և (կամ) աշխատանքային ստաժի և (կամ) աշխատանքի բնագավառի չափանիշները ներկայացնում է համապատասխան հանձնաժողովի նախագահը:</w:t></w:r></w:p><w:p><w:pPr><w:numPr><w:ilvl w:val="0"/><w:numId w:val="3"/></w:numPr></w:pPr><w:r><w:rPr/><w:t xml:space="preserve">Համակարգող փորձագետի և մյուս փորձագետների կատարողականի գնահատումն իրականացվում է հանձնաժողովի նախագահի կողմից:</w:t></w:r></w:p><w:p><w:pPr><w:numPr><w:ilvl w:val="0"/><w:numId w:val="3"/></w:numPr></w:pPr><w:r><w:rPr/><w:t xml:space="preserve">Վերակազմակերպված կամ անվանափոխված մշտական հանձնաժողովների համակարգող փորձագետը և մյուս փորձագետները (մասնագետները) օգտվում են աշխատանքային գործունեությունը շարունակելու նախապատվության իրավունքից, եթե բավարարում են նոր պաշտոնի անձնագրով սահմանված պահանջները:</w:t></w:r></w:p><w:p><w:pPr><w:numPr><w:ilvl w:val="0"/><w:numId w:val="3"/></w:numPr></w:pPr><w:r><w:rPr/><w:t xml:space="preserve">Վերակազմակերպված կամ անվանափոխված մշտական հանձնաժողովում քաղաքացիական ծառայության պաշտոնի չնշանակվելու դեպքում վերջիններս գրանցվում են քաղաքացիական ծառայության կադրերի ռեզերվում:</w:t></w:r></w:p><w:p><w:pPr/><w:r><w:rPr/><w:t xml:space="preserve"> </w:t></w:r><w:r><w:rPr><w:b w:val="1"/><w:bCs w:val="1"/></w:rPr><w:t xml:space="preserve">Հոդված 6.</w:t></w:r><w:r><w:rPr><w:b w:val="1"/><w:bCs w:val="1"/></w:rPr><w:t xml:space="preserve"> </w:t></w:r><w:r><w:rPr/><w:t xml:space="preserve"> Օրենքի 5-րդ հոդվածը շարադրել նոր խմբագրությամբ՝ հետևյալ բովանդակությամբ.</w:t></w:r></w:p><w:p><w:pPr/><w:r><w:rPr/><w:t xml:space="preserve"> </w:t></w:r></w:p><w:p><w:pPr/><w:r><w:rPr><w:b w:val="1"/><w:bCs w:val="1"/></w:rPr><w:t xml:space="preserve">Հոդված 5.</w:t></w:r><w:r><w:rPr><w:b w:val="1"/><w:bCs w:val="1"/></w:rPr><w:t xml:space="preserve"> </w:t></w:r><w:r><w:rPr/><w:t xml:space="preserve"> </w:t></w:r><w:r><w:rPr><w:b w:val="1"/><w:bCs w:val="1"/></w:rPr><w:t xml:space="preserve">Ծառայության առանձնահատկությունները բյուջետային գրասենյակում</w:t></w:r></w:p><w:p><w:pPr/><w:r><w:rPr/><w:t xml:space="preserve">      1. Բյուջետային գրասենյակի փորձագետները քաղաքացիական ծառայողներ են, որոնց աշխատանքային հարաբերություններին վերաբերող հարցերը, որոնք կարգավորված չեն «Ազգային ժողովի կանոնակարգ» սահմանադրական օրենքով, սույն օրենքով, կարգավորվում են «Քաղաքացիական ծառայության մասին» օրենքով և «Հանրային ծառայության մասին» օրենքով:</w:t></w:r></w:p><w:p><w:pPr/><w:r><w:rPr/><w:t xml:space="preserve">       2․Բյուջետային գրասենյակի քաղաքացիական ծառայողները պաշտոնի նշանակվում են մրցույթի արդյունքներով՝ 5 տարի ժամկետով, որը կարող է երկարաձգվել պաշտոնի նշանակելու իրավասություն ունեցող պաշտոնատար անձի որոշմամբ՝ 5 տարի ժամկետով:</w:t></w:r></w:p><w:p><w:pPr/><w:r><w:rPr><w:b w:val="1"/><w:bCs w:val="1"/></w:rPr><w:t xml:space="preserve">Հոդված</w:t></w:r><w:r><w:rPr><w:b w:val="1"/><w:bCs w:val="1"/></w:rPr><w:t xml:space="preserve"> 7.</w:t></w:r><w:r><w:rPr/><w:t xml:space="preserve"> Օրենքի 6-43-րդ հոդվածներն ուժը կորցրած ճանաչել:</w:t></w:r></w:p><w:p><w:pPr/><w:r><w:rPr><w:b w:val="1"/><w:bCs w:val="1"/></w:rPr><w:t xml:space="preserve">Հոդված 8. Եզրափակիչ և անցումային դրույթներ</w:t></w:r><w:r><w:rPr><w:b w:val="1"/><w:bCs w:val="1"/></w:rPr><w:t xml:space="preserve"> </w:t></w:r></w:p><w:p><w:pPr><w:numPr><w:ilvl w:val="0"/><w:numId w:val="4"/></w:numPr></w:pPr><w:r><w:rPr/><w:t xml:space="preserve">Սույն օրենքն ուժի մեջ է մտնում 2019 թվականի հունվարի 1-ից:</w:t></w:r></w:p><w:p><w:pPr><w:numPr><w:ilvl w:val="0"/><w:numId w:val="4"/></w:numPr></w:pPr><w:r><w:rPr/><w:t xml:space="preserve">Սույն օրենքն ուժի մեջ մտնելուց հետո աշխատակազմի պետական ծառայողները համարվում են քաղաքացիական ծառայողներ և նշանակվում քաղաքացիական ծառայության պաշտոններում՝ «Քաղաքացիական ծառայության մասին» օրենքի 44-րդ հոդվածով սահմանված կարգով:</w:t></w:r></w:p><w:p><w:pPr><w:numPr><w:ilvl w:val="0"/><w:numId w:val="4"/></w:numPr></w:pPr><w:r><w:rPr/><w:t xml:space="preserve">Բյուջետային գրասենյակի աշխատողների քաղաքացիական ծառայողներ համարելու և պաշտոնի նշանակելու հարաբերությունները կարգավորվում են Ազգային ժողովի խորհրդի որոշմամբ։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8C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E3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4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2026-04-03T14:17:53+04:00</dcterms:created>
  <dcterms:modified xsi:type="dcterms:W3CDTF">2026-04-03T14:17:53+04:00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