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Օ Ր Ե Ն Ք Ը  ՀԱՅԱՍՏԱՆԻ ՀԱՆՐԱՊԵՏՈՒԹՅԱՆ ՔՐԵԱԿԱՆ ՕՐԵՆՍԳՐՔՈՒՄ ՓՈՓՈԽՈՒԹՅՈՒՆՆԵՐ ԿԱՏԱՐԵԼՈՒ ՄԱՍԻՆ, ՀԱՅԱՍՏԱՆԻ ՀԱՆՐԱՊԵՏՈՒԹՅԱՆ Օ Ր Ե Ն Ք Ը    ՎԱՐՉԱԿԱՆ ԻՐԱՎԱԽԱԽՏՈՒՄՆԵՐԻ ՎԵՐԱԲԵՐՅԱԼ ՀԱՅԱՍՏԱՆԻ ՀԱՆՐԱՊԵՏՈՒԹՅԱՆ ՕՐԵՆՍԳՐՔՈՒՄ ՓՈՓՈԽՈՒԹՅՈՒՆՆԵՐ  ԿԱՏԱՐԵԼՈՒ ՄԱՍԻՆ</w:t>
      </w:r>
      <w:bookmarkEnd w:id="0"/>
    </w:p>
    <w:p>
      <w:pPr/>
      <w:r>
        <w:rPr>
          <w:b w:val="1"/>
          <w:bCs w:val="1"/>
        </w:rPr>
        <w:t xml:space="preserve">Հոդված 1.</w:t>
      </w:r>
      <w:r>
        <w:rPr/>
        <w:t xml:space="preserve"> Հայաստանի Հանրապետության 2003 թվականի ապրիլի 18-ի քրեական օրենսգրքի (այսուհետ` Օրենսգիրք) 210-րդ, 211-րդ, 213-րդ հոդվածները ուժը կորցրած ճանաչել:</w:t>
      </w:r>
    </w:p>
    <w:p>
      <w:pPr/>
      <w:r>
        <w:rPr>
          <w:b w:val="1"/>
          <w:bCs w:val="1"/>
        </w:rPr>
        <w:t xml:space="preserve">Հոդված 2. </w:t>
      </w:r>
      <w:r>
        <w:rPr/>
        <w:t xml:space="preserve">Օրենսգրքի 208-րդ հոդվածի 4-րդ մասից հանել «210 և 211» թվերը:</w:t>
      </w:r>
    </w:p>
    <w:p>
      <w:pPr/>
      <w:r>
        <w:rPr>
          <w:b w:val="1"/>
          <w:bCs w:val="1"/>
        </w:rPr>
        <w:t xml:space="preserve">Հոդված 3. </w:t>
      </w:r>
      <w:r>
        <w:rPr/>
        <w:t xml:space="preserve">Օրենսգրքի 212-րդ հոդվածը շարադրել հետևալ խմբագրությամբ՝</w:t>
      </w:r>
    </w:p>
    <w:p>
      <w:pPr/>
      <w:r>
        <w:rPr>
          <w:b w:val="1"/>
          <w:bCs w:val="1"/>
        </w:rPr>
        <w:t xml:space="preserve">«Հոդված</w:t>
      </w:r>
      <w:r>
        <w:rPr/>
        <w:t xml:space="preserve"> </w:t>
      </w:r>
      <w:r>
        <w:rPr>
          <w:b w:val="1"/>
          <w:bCs w:val="1"/>
        </w:rPr>
        <w:t xml:space="preserve">212.</w:t>
      </w:r>
      <w:r>
        <w:rPr>
          <w:b w:val="1"/>
          <w:bCs w:val="1"/>
        </w:rPr>
        <w:t xml:space="preserve"> Սպառողներին</w:t>
      </w:r>
      <w:r>
        <w:rPr>
          <w:b w:val="1"/>
          <w:bCs w:val="1"/>
        </w:rPr>
        <w:t xml:space="preserve"> խաբելը</w:t>
      </w:r>
    </w:p>
    <w:p>
      <w:pPr>
        <w:numPr>
          <w:ilvl w:val="0"/>
          <w:numId w:val="2"/>
        </w:numPr>
      </w:pPr>
      <w:r>
        <w:rPr/>
        <w:t xml:space="preserve">Թերաչափելը, թերակշռելը, թերահաշվելը, ապրանքի (ծառայության) սպառողական հատկանիշների կամ որակի վերաբերյալ սպառողներին թյուրիմացության մեջ գցելը կամ այլ ձևով խաբելը՝ ապրանքներ իրացնող կամ բնակչությանը ծառայություններ մատուցող կազմակերպություններում կամ անհատ ձեռնարկատերի կողմից առևտրի (ծառայությունների) ոլորտում, որը կատարվել է զգալի չափով՝</w:t>
      </w:r>
    </w:p>
    <w:p>
      <w:pPr/>
      <w:r>
        <w:rPr/>
        <w:t xml:space="preserve">պատժվում է տուգանքով՝ նվազագույն աշխատավարձի հարյուրապատիկից հինգհարյուրապատիկի չափով:</w:t>
      </w:r>
    </w:p>
    <w:p>
      <w:pPr>
        <w:numPr>
          <w:ilvl w:val="0"/>
          <w:numId w:val="3"/>
        </w:numPr>
      </w:pPr>
      <w:r>
        <w:rPr/>
        <w:t xml:space="preserve">Նույն արարքը, որը կատարվել է՝</w:t>
      </w:r>
    </w:p>
    <w:p>
      <w:pPr/>
      <w:r>
        <w:rPr/>
        <w:t xml:space="preserve">1) խոշոր չափերով,</w:t>
      </w:r>
    </w:p>
    <w:p>
      <w:pPr/>
      <w:r>
        <w:rPr/>
        <w:t xml:space="preserve">2) մի խումբ անձանց կողմից նախնական համաձայնությամբ՝</w:t>
      </w:r>
    </w:p>
    <w:p>
      <w:pPr/>
      <w:r>
        <w:rPr/>
        <w:t xml:space="preserve">պատժվում է տուգանքով՝ նվազագույն աշխատավարձի երեքհարյուրապատիկից հինգհարյուրապատիկի չափով, կամ որոշակի պաշտոններ զբաղեցնելու կամ որոշակի գործունեությամբ զբաղվելու իրավունքից զրկելով՝ առավելագույնը երեք տարի ժամկետով, կամ կալանքով՝ առավելագույնը երկու ամիս ժամկետով:</w:t>
      </w:r>
    </w:p>
    <w:p>
      <w:pPr>
        <w:numPr>
          <w:ilvl w:val="0"/>
          <w:numId w:val="4"/>
        </w:numPr>
      </w:pPr>
      <w:r>
        <w:rPr/>
        <w:t xml:space="preserve">Սույն հոդվածի առաջին կամ երկրորդ մասով նախատեսված արարքը, որը կատարվել է կազմակերպված խմբի կողմից՝</w:t>
      </w:r>
    </w:p>
    <w:p>
      <w:pPr/>
      <w:r>
        <w:rPr/>
        <w:t xml:space="preserve">պատժվում է ազատազրկմամբ՝ առավելագույնը երկու տարի ժամկետով՝ որոշակի պաշտոններ զբաղեցնելու կամ որոշակի գործունեությամբ զբաղվելու իրավունքից զրկելով՝ առավելագույնը երեք տարի ժամկետով:</w:t>
      </w:r>
    </w:p>
    <w:p>
      <w:pPr>
        <w:numPr>
          <w:ilvl w:val="0"/>
          <w:numId w:val="5"/>
        </w:numPr>
      </w:pPr>
      <w:r>
        <w:rPr/>
        <w:t xml:space="preserve">Սույն հոդվածում զգալի չափ է համարվում հանցագործության պահին սահմանված նվազագույն աշխատավարձի երեսնապատիկից մինչև հիսնապատիկի չափը, իսկ խոշոր չափ է համարվում հանցագործության պահին սահմանված նվազագույն աշխատավարձի հիսնապատիկը գերազանցող գումարը:</w:t>
      </w:r>
    </w:p>
    <w:tbl>
      <w:tblGrid>
        <w:gridCol w:w="2025" w:type="dxa"/>
        <w:gridCol w:w="5000" w:type="dxa"/>
      </w:tblGrid>
      <w:tblPr>
        <w:tblW w:w="5000" w:type="pct"/>
        <w:tblLayout w:type="autofit"/>
      </w:tblPr>
      <w:tr>
        <w:trPr/>
        <w:tc>
          <w:tcPr>
            <w:tcW w:w="2025" w:type="dxa"/>
            <w:noWrap/>
          </w:tcPr>
          <w:p>
            <w:pPr/>
            <w:r>
              <w:rPr/>
              <w:t xml:space="preserve"> </w:t>
            </w:r>
          </w:p>
        </w:tc>
        <w:tc>
          <w:tcPr>
            <w:tcW w:w="5000" w:type="pct"/>
            <w:noWrap/>
          </w:tcPr>
          <w:p>
            <w:pPr/>
            <w:r>
              <w:rPr/>
              <w:t xml:space="preserve"> </w:t>
            </w:r>
          </w:p>
        </w:tc>
      </w:tr>
    </w:tbl>
    <w:p>
      <w:pPr>
        <w:numPr>
          <w:ilvl w:val="0"/>
          <w:numId w:val="6"/>
        </w:numPr>
      </w:pPr>
      <w:r>
        <w:rPr/>
        <w:t xml:space="preserve">Առանց պիտանիության ժամկետի, պիտանիության ժամկետն անցած, ոչ ընթեռնելի պիտանիության ժամկետով, պիտանիության ժամկետի կրկնակի մակնշմամբ, արտադրողի կողմից նշված բնօրինակ պիտանիության ժամկետը ջնջված և նոր ժամկետի նշումով, հայերեն մակնշումը արտադրողի կողմից նշված բնօրինակ պիտանիության ժամկետի վրա փակցված ապրանքներ իրացնելը, եթե այդ արարքը մարդու առողջության համար անզգուշությամբ պատճառել է ծանր կամ միջին ծանրության վնաս`</w:t>
      </w:r>
    </w:p>
    <w:p>
      <w:pPr/>
      <w:r>
        <w:rPr/>
        <w:t xml:space="preserve">պատժվում է տուգանքով` նվազագույն աշխատավարձի հազարապատիկից երկուհազարապատիկի չափով կամ կալանքով՝ առավելագույնը երկու ամիս ժամկետով:</w:t>
      </w:r>
    </w:p>
    <w:p>
      <w:pPr>
        <w:numPr>
          <w:ilvl w:val="0"/>
          <w:numId w:val="7"/>
        </w:numPr>
      </w:pPr>
      <w:r>
        <w:rPr/>
        <w:t xml:space="preserve">Սույն հոդվածի 5-րդ մասով նախատեսված արարքը, որն անզգուշությամբ առաջացրել է մարդու մահ`</w:t>
      </w:r>
    </w:p>
    <w:p>
      <w:pPr/>
      <w:r>
        <w:rPr/>
        <w:t xml:space="preserve">պատժվում է ազատազրկմամբ` երեքից հինգ տարի ժամկետով:»</w:t>
      </w:r>
    </w:p>
    <w:p>
      <w:pPr/>
      <w:r>
        <w:rPr>
          <w:b w:val="1"/>
          <w:bCs w:val="1"/>
        </w:rPr>
        <w:t xml:space="preserve">Հոդված 4.</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b w:val="1"/>
          <w:bCs w:val="1"/>
        </w:rPr>
        <w:t xml:space="preserve">ՀԱՅԱՍՏԱՆԻ ՀԱՆՐԱՊԵՏՈՒԹՅԱՆ</w:t>
      </w:r>
    </w:p>
    <w:p>
      <w:pPr/>
      <w:r>
        <w:rPr>
          <w:b w:val="1"/>
          <w:bCs w:val="1"/>
        </w:rPr>
        <w:t xml:space="preserve">Օ Ր Ե Ն Ք Ը</w:t>
      </w:r>
    </w:p>
    <w:p>
      <w:pPr/>
      <w:r>
        <w:rPr>
          <w:b w:val="1"/>
          <w:bCs w:val="1"/>
        </w:rPr>
        <w:t xml:space="preserve"> </w:t>
      </w:r>
    </w:p>
    <w:p>
      <w:pPr/>
      <w:r>
        <w:rPr>
          <w:b w:val="1"/>
          <w:bCs w:val="1"/>
        </w:rPr>
        <w:t xml:space="preserve"> </w:t>
      </w:r>
      <w:r>
        <w:rPr>
          <w:b w:val="1"/>
          <w:bCs w:val="1"/>
        </w:rPr>
        <w:t xml:space="preserve">ՎԱՐՉԱԿԱՆ</w:t>
      </w:r>
      <w:r>
        <w:rPr>
          <w:b w:val="1"/>
          <w:bCs w:val="1"/>
        </w:rPr>
        <w:t xml:space="preserve"> </w:t>
      </w:r>
      <w:r>
        <w:rPr>
          <w:b w:val="1"/>
          <w:bCs w:val="1"/>
        </w:rPr>
        <w:t xml:space="preserve">ԻՐԱՎԱԽԱԽՏՈՒՄՆԵՐԻ ՎԵՐԱԲԵՐՅԱԼ ՀԱՅԱՍՏԱՆԻ ՀԱՆՐԱՊԵՏՈՒԹՅԱՆ ՕՐԵՆՍԳՐՔՈՒՄ ՓՈՓՈԽՈՒԹՅՈՒՆՆԵՐ </w:t>
      </w:r>
    </w:p>
    <w:p>
      <w:pPr/>
      <w:r>
        <w:rPr>
          <w:b w:val="1"/>
          <w:bCs w:val="1"/>
        </w:rPr>
        <w:t xml:space="preserve">ԿԱՏԱՐԵԼՈՒ ՄԱՍԻՆ</w:t>
      </w:r>
    </w:p>
    <w:p>
      <w:pPr/>
      <w:r>
        <w:rPr/>
        <w:t xml:space="preserve"> </w:t>
      </w:r>
    </w:p>
    <w:p>
      <w:pPr/>
      <w:r>
        <w:rPr>
          <w:b w:val="1"/>
          <w:bCs w:val="1"/>
        </w:rPr>
        <w:t xml:space="preserve">Հոդված 1.</w:t>
      </w:r>
      <w:r>
        <w:rPr/>
        <w:t xml:space="preserve"> Վարչական իրավախախտումների վերաբերյալ Հայաստանի Հանրապետության 1985 թվականի դեկտեմբերի 6-ի օրենսգրքի (այսուհետ՝ Օրենսգիրք) 170.8 հոդվածը շարադրել հետևյալ խմբագրությամբ՝</w:t>
      </w:r>
    </w:p>
    <w:p>
      <w:pPr/>
      <w:r>
        <w:rPr/>
        <w:t xml:space="preserve">«1. Ակցիզային դրոշմանիշերով և (կամ) դրոշմապիտակներով դրոշմավորման ենթակա չդրոշմավորված (չվերադրոշմավորված) ապրանքներ իրացնելը, եթե դրանց ընդհանուր արժեքը վաճառողի մոտ նշված (իսկ չնշված լինելու դեպքում` oրենսդրությամբ սահմանված կարգով որոշված) գներով չի գերազանցում հիսուն հազար դրամը`</w:t>
      </w:r>
    </w:p>
    <w:p>
      <w:pPr/>
      <w:r>
        <w:rPr/>
        <w:t xml:space="preserve">առաջացնում է տուգանքի նշանակում` սահմանված նվազագույն աշխատավարձի հարյուրհիսունապատիկի չափով:</w:t>
      </w:r>
    </w:p>
    <w:p>
      <w:pPr>
        <w:numPr>
          <w:ilvl w:val="0"/>
          <w:numId w:val="8"/>
        </w:numPr>
      </w:pPr>
      <w:r>
        <w:rPr/>
        <w:t xml:space="preserve">Նույն խախտումը, եթե այդ ապրանքների ընդհանուր արժեքը վաճառողի մոտ նշված (չնշված լինելու դեպքում` օրենսդրությամբ սահմանված կարգով որոշված) գներով կազմում է հիսուն հազարից երկու հարյուր հազար դրամ`</w:t>
      </w:r>
    </w:p>
    <w:p>
      <w:pPr/>
      <w:r>
        <w:rPr/>
        <w:t xml:space="preserve">առաջացնում է տուգանքի նշանակում` սահմանված նվազագույն աշխատավարձի երեքհարյուրապատիկի չափով:</w:t>
      </w:r>
    </w:p>
    <w:p>
      <w:pPr>
        <w:numPr>
          <w:ilvl w:val="0"/>
          <w:numId w:val="9"/>
        </w:numPr>
      </w:pPr>
      <w:r>
        <w:rPr/>
        <w:t xml:space="preserve">Նույն խախտումը, եթե այդ ապրանքների ընդհանուր արժեքը վաճառողի մոտ նշված (չնշված լինելու դեպքում` օրենսդրությամբ սահմանված կարգով որոշված) գներով կազմում է երկու հարյուր հազարից հինգ հարյուր հազար դրամ`</w:t>
      </w:r>
    </w:p>
    <w:p>
      <w:pPr/>
      <w:r>
        <w:rPr/>
        <w:t xml:space="preserve">պատժվում է տուգանքով՝ նվազագույն աշխատավարձի ութհարյուրապատիկի չափով:</w:t>
      </w:r>
    </w:p>
    <w:p>
      <w:pPr>
        <w:numPr>
          <w:ilvl w:val="0"/>
          <w:numId w:val="10"/>
        </w:numPr>
      </w:pPr>
      <w:r>
        <w:rPr/>
        <w:t xml:space="preserve">Նույն խախտումը, եթե այդ ապրանքների ընդհանուր արժեքը վաճառողի մոտ նշված (չնշված լինելու դեպքում` օրենսդրությամբ սահմանված կարգով որոշված) գներով կազմում է հինգ հարյուր հազար դրամ և ավելի`</w:t>
      </w:r>
    </w:p>
    <w:p>
      <w:pPr/>
      <w:r>
        <w:rPr/>
        <w:t xml:space="preserve">պատժվում է տուգանքով՝ նվազագույն աշխատավարձի հազարերկուհարյուրապատիկի չափով:</w:t>
      </w:r>
    </w:p>
    <w:p>
      <w:pPr>
        <w:numPr>
          <w:ilvl w:val="0"/>
          <w:numId w:val="11"/>
        </w:numPr>
      </w:pPr>
      <w:r>
        <w:rPr/>
        <w:t xml:space="preserve">Սույն հոդվածի առաջին, երկրորդ և երրորդ մասերով նախատեսված խախտումները, որոնք կատարվել են պատասխանատու անձի կողմից`</w:t>
      </w:r>
    </w:p>
    <w:p>
      <w:pPr/>
      <w:r>
        <w:rPr/>
        <w:t xml:space="preserve">պատժվում են տուգանքով` նվազագույն աշխատավարձի երեքհազարապատիկի չափով:»</w:t>
      </w:r>
    </w:p>
    <w:p>
      <w:pPr/>
      <w:r>
        <w:rPr>
          <w:b w:val="1"/>
          <w:bCs w:val="1"/>
        </w:rPr>
        <w:t xml:space="preserve">Հոդված</w:t>
      </w:r>
      <w:r>
        <w:rPr/>
        <w:t xml:space="preserve"> </w:t>
      </w:r>
      <w:r>
        <w:rPr>
          <w:b w:val="1"/>
          <w:bCs w:val="1"/>
        </w:rPr>
        <w:t xml:space="preserve">2</w:t>
      </w:r>
      <w:r>
        <w:rPr>
          <w:b w:val="1"/>
          <w:bCs w:val="1"/>
        </w:rPr>
        <w:t xml:space="preserve">.</w:t>
      </w:r>
      <w:r>
        <w:rPr/>
        <w:t xml:space="preserve"> Ուժը կորցրած ճանաչել Օրենսգրքի 170.9 հոդվածը:»:</w:t>
      </w:r>
    </w:p>
    <w:p>
      <w:pPr/>
      <w:r>
        <w:rPr>
          <w:b w:val="1"/>
          <w:bCs w:val="1"/>
        </w:rPr>
        <w:t xml:space="preserve">Հոդված </w:t>
      </w:r>
      <w:r>
        <w:rPr>
          <w:b w:val="1"/>
          <w:bCs w:val="1"/>
        </w:rPr>
        <w:t xml:space="preserve">3</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CF6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59491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023BD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6DF1A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BA635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16478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C0A5E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01FD3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E60F6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6F5E7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2026-04-01T23:31:40+04:00</dcterms:created>
  <dcterms:modified xsi:type="dcterms:W3CDTF">2026-04-01T23:31:40+04:00</dcterms:modified>
</cp:coreProperties>
</file>

<file path=docProps/custom.xml><?xml version="1.0" encoding="utf-8"?>
<Properties xmlns="http://schemas.openxmlformats.org/officeDocument/2006/custom-properties" xmlns:vt="http://schemas.openxmlformats.org/officeDocument/2006/docPropsVTypes"/>
</file>