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մայիսի 4-ի N 453-Ն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/>
        <w:t xml:space="preserve"> </w:t>
      </w:r>
    </w:p>
    <w:p>
      <w:pPr>
        <w:jc w:val="center"/>
      </w:pPr>
      <w:r>
        <w:rPr/>
        <w:t xml:space="preserve">   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 --------- ---------------- 2018  թվականի  N    - 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2017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Մայիսի 4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453-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>
          <w:b w:val="1"/>
          <w:bCs w:val="1"/>
        </w:rPr>
        <w:t xml:space="preserve"> մեջ փոփոխություն կատարե</w:t>
      </w:r>
      <w:r>
        <w:rPr>
          <w:b w:val="1"/>
          <w:bCs w:val="1"/>
        </w:rPr>
        <w:t xml:space="preserve">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Հայաստանի Հանրապե­տու­թյան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1. Հայաստանի Հանրապետության կառավարության 2017 թվականի մայիսի 4-ի «Հայաստանի Հանրապետության կառավարության 2014 թվականի նոյեմբերի 19-ի N 1308-Ն որոշման գործողությունը կասեցնելու մասին» N 453-Ն որոշման 1-ին կետում «2018» թիվը փոխարինել «2019» թվով: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62E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2026-03-31T20:30:13+04:00</dcterms:created>
  <dcterms:modified xsi:type="dcterms:W3CDTF">2026-03-31T20:30:13+04:00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