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 Ո Ր Ո Շ ՈՒ Մ   ՀԱՆՐՈՒԹՅԱՆ ՇՐՋԱՆՈՒՄ ԱՌՈՂՋ ԱՊՐԵԼԱԿԵՐՊԻ ԽՐԱԽՈՒՍՄԱՆ ԵՎ ԵՐԹԵՎԵԿՈՒԹՅԱՆ ԱՅԼԸՆՏՐԱՆՔԱՅԻՆ ՁԵՎԵՐԻ ԽԹԱՆՄԱՆ ՄԻՋՈՑԱՌՈՒՄԸ ՀԱՍՏԱՏԵԼՈՒ ՄԱՍԻՆ</w:t>
      </w:r>
      <w:bookmarkEnd w:id="0"/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ՀԱՆՐՈՒԹՅԱՆ ՇՐՋԱՆՈՒՄ ԱՌՈՂՋ ԱՊՐԵԼԱԿԵՐՊԻ ԽՐԱԽՈՒՍՄԱՆ ԵՎ ԵՐԹԵՎԵԿՈՒԹՅԱՆ ԱՅԼԸՆՏՐԱՆՔԱՅԻՆ ՁԵՎԵՐԻ ԽԹԱՆՄԱՆ ՄԻՋՈՑԱՌՈՒՄԸ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4-րդ մասը՝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հանրության շրջանում առողջ ապրելակերպի խրախուսման և երթևեկության այլընտրանքային ձևերի խթանման միջոցառումը՝ համաձայն N 1 հավելվածի:</w:t>
      </w:r>
    </w:p>
    <w:p>
      <w:pPr>
        <w:numPr>
          <w:ilvl w:val="0"/>
          <w:numId w:val="2"/>
        </w:numPr>
      </w:pPr>
      <w:r>
        <w:rPr/>
        <w:t xml:space="preserve">Հանձնարարել Հայաստանի Հանրապետության կրթության, գիտության, մշակույթի և սպորտի նախարարին՝ մինչև 2025 թվականի մարտի 31-ը, համագործակցելով Հայաստանի Հանրապետության ֆինանսների նախարարության և Հայաստանի Հանրապետության կենտրոնական բանկի հետ, Հայաստանի Հանրապետության կառավարության հաստատմանը ներկայացնել միջոցառման իրականացման կարգը ՝ այնտեղ ամրագրելով նաև գործընթացի հրապարակային և թափանցիկ իրականացման մեխանիզմներ:</w:t>
      </w:r>
    </w:p>
    <w:p>
      <w:pPr/>
      <w:r>
        <w:rPr/>
        <w:t xml:space="preserve">  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Հավելված N 1</w:t>
            </w:r>
          </w:p>
          <w:p>
            <w:pPr/>
            <w:r>
              <w:rPr>
                <w:b w:val="1"/>
                <w:bCs w:val="1"/>
              </w:rPr>
              <w:t xml:space="preserve">ՀՀ կառավարության 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ՀԱՆՐՈՒԹՅԱՆ ՇՐՋԱՆՈՒՄ ԱՌՈՂՋ ԱՊՐԵԼԱԿԵՐՊԻ ԽՐԱԽՈՒՍՄԱՆ ԵՎ ԵՐԹԵՎԵԿՈՒԹՅԱՆ ԱՅԼԸՆՏՐԱՆՔԱՅԻՆ ՁԵՎԵՐԻ</w:t>
      </w:r>
      <w:r>
        <w:rPr>
          <w:b w:val="1"/>
          <w:bCs w:val="1"/>
        </w:rPr>
        <w:t xml:space="preserve"> խթանման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ՄԻՋՈՑԱՌՈՒՄԸ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ՄԻՋՈՑԱՌՄԱՆ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ՕԺԱՆԴԱԿՈՒԹՅԱՆ</w:t>
      </w:r>
      <w:r>
        <w:rPr/>
        <w:t xml:space="preserve"> </w:t>
      </w:r>
      <w:r>
        <w:rPr>
          <w:b w:val="1"/>
          <w:bCs w:val="1"/>
        </w:rPr>
        <w:t xml:space="preserve">ՆՊԱՏԱԿԸ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հաստատված հանրության շրջանում առողջ ապրելակերպի խրախուսման և երթևեկության այլընտրանքային ձևերի խթանման միջոցառման (այսուհետ՝ միջոցառում) նպատակն է բարձրագույն ուսումնական հաստատությունների և մասնագիտական կրթության և ուսուցման հաստատությունների սովորողների ու աշխատակիցների համար ստեղծել մատչելի ֆինանսական միջոցների հասանելիություն՝ ձեռք բերելու հեծանիվներ, որոնք կծառայեն որպես տրանսպորտային միջոց վերջիններիս համար և այդպիսով կխրախուսեն սովորողների և աշխատակիցների ֆիզիկական առողջ ակտիվությունը՝ խթանելով երթևեկության այլընտրանքային ձևերի օգտագործումը Հայաստանի Հանրապետությունում, որը կփոխի երթևեկության հանրային մշակույթը՝ նպաստելով խցանումների նվազմանը քաղաքային բնակավայրերում և ներդնելով երթևեկության կանաչ տեխնոլոգիաներ։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ՇԱՀԱՌՈՒՆԵՐԻ</w:t>
      </w:r>
      <w:r>
        <w:rPr/>
        <w:t xml:space="preserve"> </w:t>
      </w:r>
      <w:r>
        <w:rPr>
          <w:b w:val="1"/>
          <w:bCs w:val="1"/>
        </w:rPr>
        <w:t xml:space="preserve">ՇՐՋԱՆԱԿԸ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միջոցառման իմաստով շահառու են հանդիսանում Հայաստանի Հանրապետության տարածքում գրանցված, արհեստագործական, միջին մասնագիտական կամ բարձրագույն կրթական ծրագրի իրականացման լիցենզիա ունեցող, հավատարմագրված և փաստացի գործունեություն իրականացնող ուսումնական հաստատության սովորողները և աշխատակիցները (այսուհետ՝ շահառուներ):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ՕԺԱՆԴԱԿՈՒԹՅԱՆ</w:t>
      </w:r>
      <w:r>
        <w:rPr/>
        <w:t xml:space="preserve"> </w:t>
      </w:r>
      <w:r>
        <w:rPr>
          <w:b w:val="1"/>
          <w:bCs w:val="1"/>
        </w:rPr>
        <w:t xml:space="preserve">ՁԵՎԵՐԸ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Օժանդակությունը տրամադրվում է շահառուներին՝ Հայաստանի Հանրապետության տարածքում գործող և լիցենզավորված բանկերից կամ վարկային կազմակերպություններից (այսուհետ՝ ֆինանսական կազմակերպություն) ստացվող նպատակային վարկերի տոկոսադրույքի սուբսիդավորման ձևով: Ընդ որում, վարկերի վերադարձի ռիսկն ամբողջությամբ կրում է ֆինանսական կազմակերպությունը:</w:t>
      </w:r>
    </w:p>
    <w:p>
      <w:pPr>
        <w:numPr>
          <w:ilvl w:val="0"/>
          <w:numId w:val="5"/>
        </w:numPr>
      </w:pPr>
      <w:r>
        <w:rPr/>
        <w:t xml:space="preserve">Շահառուն հնարավորություն ունի սույն միջոցառման 6-րդ կետի 4-րդ ենթակետով սահմանված առավելագույն գումարի սահմաններում սույն միջոցառմամբ սահմանված նպատակներով ստանալ վարկ։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ՕԺԱՆԴԱԿՈՒԹՅԱՆ</w:t>
      </w:r>
      <w:r>
        <w:rPr/>
        <w:t xml:space="preserve"> </w:t>
      </w:r>
      <w:r>
        <w:rPr>
          <w:b w:val="1"/>
          <w:bCs w:val="1"/>
        </w:rPr>
        <w:t xml:space="preserve">ԳՈՐԾԻՔԻ</w:t>
      </w:r>
      <w:r>
        <w:rPr/>
        <w:t xml:space="preserve"> </w:t>
      </w:r>
      <w:r>
        <w:rPr>
          <w:b w:val="1"/>
          <w:bCs w:val="1"/>
        </w:rPr>
        <w:t xml:space="preserve">ՆԵՐՔՈ</w:t>
      </w:r>
      <w:r>
        <w:rPr/>
        <w:t xml:space="preserve"> </w:t>
      </w:r>
      <w:r>
        <w:rPr>
          <w:b w:val="1"/>
          <w:bCs w:val="1"/>
        </w:rPr>
        <w:t xml:space="preserve">ՍՏԱՑՎԵԼԻՔ</w:t>
      </w:r>
      <w:r>
        <w:rPr/>
        <w:t xml:space="preserve"> </w:t>
      </w:r>
      <w:r>
        <w:rPr>
          <w:b w:val="1"/>
          <w:bCs w:val="1"/>
        </w:rPr>
        <w:t xml:space="preserve">ՎԱՐԿԵՐԻ</w:t>
      </w:r>
      <w:r>
        <w:rPr/>
        <w:t xml:space="preserve"> </w:t>
      </w:r>
      <w:r>
        <w:rPr>
          <w:b w:val="1"/>
          <w:bCs w:val="1"/>
        </w:rPr>
        <w:t xml:space="preserve">ՆՊԱՏԱԿԸ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Օժանդակությունը կիրառելի է այն վարկերի համար, որոնք տրամադրվում են շահառուներին հետևյալ նպատակով՝</w:t>
      </w:r>
    </w:p>
    <w:p>
      <w:pPr/>
      <w:r>
        <w:rPr/>
        <w:t xml:space="preserve">1) նոր (չօգտագործված) սիրողական դասի հեծանիվների գնում, որոնք օգտագործվելու են Հայաստանի Հանրապետության տարածքում երթևեկության նպատակով.</w:t>
      </w:r>
    </w:p>
    <w:p>
      <w:pPr>
        <w:numPr>
          <w:ilvl w:val="0"/>
          <w:numId w:val="7"/>
        </w:numPr>
      </w:pPr>
      <w:r>
        <w:rPr/>
        <w:t xml:space="preserve">Միևնույն շահառուն միջոցառման շրջանակներում կարող է օգտվել օժանդակության ներքո կիրառելի վարկից մեկ անգամ։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ՕԺԱՆԴԱԿՈՒԹՅԱՆ</w:t>
      </w:r>
      <w:r>
        <w:rPr/>
        <w:t xml:space="preserve"> </w:t>
      </w:r>
      <w:r>
        <w:rPr>
          <w:b w:val="1"/>
          <w:bCs w:val="1"/>
        </w:rPr>
        <w:t xml:space="preserve">ԳՈՐԾԻՔԻ</w:t>
      </w:r>
      <w:r>
        <w:rPr/>
        <w:t xml:space="preserve"> </w:t>
      </w:r>
      <w:r>
        <w:rPr>
          <w:b w:val="1"/>
          <w:bCs w:val="1"/>
        </w:rPr>
        <w:t xml:space="preserve">ՆԵՐՔՈ</w:t>
      </w:r>
      <w:r>
        <w:rPr/>
        <w:t xml:space="preserve"> </w:t>
      </w:r>
      <w:r>
        <w:rPr>
          <w:b w:val="1"/>
          <w:bCs w:val="1"/>
        </w:rPr>
        <w:t xml:space="preserve">ՏՐԱՄԱԴՐՎԵԼԻՔ</w:t>
      </w:r>
      <w:r>
        <w:rPr/>
        <w:t xml:space="preserve"> </w:t>
      </w:r>
      <w:r>
        <w:rPr>
          <w:b w:val="1"/>
          <w:bCs w:val="1"/>
        </w:rPr>
        <w:t xml:space="preserve">ՎԱՐԿԵՐԻ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/>
        <w:t xml:space="preserve"> </w:t>
      </w:r>
      <w:r>
        <w:rPr>
          <w:b w:val="1"/>
          <w:bCs w:val="1"/>
        </w:rPr>
        <w:t xml:space="preserve">ՀԻՄՆԱԿԱՆ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ՎԱՐԿԵՐ</w:t>
      </w:r>
      <w:r>
        <w:rPr>
          <w:b w:val="1"/>
          <w:bCs w:val="1"/>
        </w:rPr>
        <w:t xml:space="preserve"> ՏՐԱՄԱԴՐՈՂ ԿԱՌՈՒՅՑՆԵՐԸ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Օժանդակության գործիքների կիրառմամբ տրամադրվող վարկերը պետք է համապատասխանեն հետևյալ պահանջներին՝</w:t>
      </w:r>
    </w:p>
    <w:p>
      <w:pPr/>
      <w:r>
        <w:rPr/>
        <w:t xml:space="preserve">1) արժույթը՝ դրամով.</w:t>
      </w:r>
    </w:p>
    <w:p>
      <w:pPr/>
      <w:r>
        <w:rPr/>
        <w:t xml:space="preserve"> </w:t>
      </w:r>
    </w:p>
    <w:p>
      <w:pPr/>
      <w:r>
        <w:rPr/>
        <w:t xml:space="preserve">2) ժամկետը՝</w:t>
      </w:r>
    </w:p>
    <w:tbl>
      <w:tblGrid>
        <w:gridCol w:w="9750" w:type="dxa"/>
        <w:gridCol w:w="9750" w:type="dxa"/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Տեսակը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Տրամադրվող վարկի գումարը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Սուբսիդավորման ժամանակահատվածը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Վարկի ժամկետը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Սիրողական դասի հեծանիվ, ներառյալ հեծանիվի հետ միաժամանակ գնվող՝ սաղավարտ, ծնկների բարձիկներ և ձեռնոցներ (մինչև 20 հազար դրամ)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300 հազար դրամ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36 ամիս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մինչև 120 ամիս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3) դրամով վարկի մայր գումարի մարման արտոնյալ ժամանակահատված՝ մինչև 6 ամիս․</w:t>
      </w:r>
    </w:p>
    <w:p>
      <w:pPr/>
      <w:r>
        <w:rPr/>
        <w:t xml:space="preserve"> 4) վարկային միջոցների օգտագործման կարգը՝ միայն անկանխիկ և բանկային փոխանցումներով.</w:t>
      </w:r>
    </w:p>
    <w:p>
      <w:pPr/>
      <w:r>
        <w:rPr/>
        <w:t xml:space="preserve">5) վարկի տրամադրման և սպասարկման ընթացքում միջնորդավճարներ, վաղաժամկետ մարման համար տույժեր/տուգանքներ կամ այլ վճարներ չեն կիրառվում․</w:t>
      </w:r>
    </w:p>
    <w:p>
      <w:pPr/>
      <w:r>
        <w:rPr/>
        <w:t xml:space="preserve">6) վարկի տոկոսադրույքի սուբսիդավորման հաշվարկումը սկսվում է պայմանագրի կնքման օրվանից:</w:t>
      </w:r>
    </w:p>
    <w:p>
      <w:pPr>
        <w:numPr>
          <w:ilvl w:val="0"/>
          <w:numId w:val="9"/>
        </w:numPr>
      </w:pPr>
      <w:r>
        <w:rPr/>
        <w:t xml:space="preserve">Տոկոսադրույքների սուբսիդավորումը կատարվում է Հայաստանի Հանրապետության կրթության, գիտության, մշակույթի և սպորտի նախարարության կողմից՝ ֆինանսական կազմակերպությունների հետ կնքված պայմանագրերի հիման վրա։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ՕԺԱՆԴԱԿՈՒԹՅԱՆ</w:t>
      </w:r>
      <w:r>
        <w:rPr/>
        <w:t xml:space="preserve"> </w:t>
      </w:r>
      <w:r>
        <w:rPr>
          <w:b w:val="1"/>
          <w:bCs w:val="1"/>
        </w:rPr>
        <w:t xml:space="preserve">ԳՈՐԾԻՔԻ</w:t>
      </w:r>
      <w:r>
        <w:rPr/>
        <w:t xml:space="preserve"> </w:t>
      </w:r>
      <w:r>
        <w:rPr>
          <w:b w:val="1"/>
          <w:bCs w:val="1"/>
        </w:rPr>
        <w:t xml:space="preserve">ԲՈՎԱՆԴԱԿՈՒԹՅԱՆ</w:t>
      </w:r>
      <w:r>
        <w:rPr/>
        <w:t xml:space="preserve"> </w:t>
      </w:r>
      <w:r>
        <w:rPr>
          <w:b w:val="1"/>
          <w:bCs w:val="1"/>
        </w:rPr>
        <w:t xml:space="preserve">ՆԿԱՐԱԳՐՈՒԹՅՈՒՆԸ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ՉԱՓԵՐԸ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Սույն միջոցառման շրջանակում վարկ ստանալու նպատակով ցանկացած շահառու, որը համապատասխանում է սույն միջոցառմամբ նախատեսված պայմաններին, կարող է հայտ ներկայացնել ֆինանսական կազմակերպություն, որի բավարարման դեպքում սույն միջոցառմամբ սահմանված կանոնների համաձայն կիրականացվի սուբսիդավորում՝ տվյալ վարկի տոկոսների` սույն հավելվածի 6-րդ կետով սահմանված չափերով, վարկի մարման ժամկետի՝ սույն հավելվածի 6-րդ կետում նշված ժամանակահատվածի համար։</w:t>
      </w:r>
    </w:p>
    <w:p>
      <w:pPr>
        <w:numPr>
          <w:ilvl w:val="0"/>
          <w:numId w:val="10"/>
        </w:numPr>
      </w:pPr>
      <w:r>
        <w:rPr/>
        <w:t xml:space="preserve">Հայաստանի Հանրապետության դրամով վարկերի սուբսիդավորման չափերը, հետևյալն են՝«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9750" w:type="dxa"/>
        <w:gridCol w:w="507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Նպատակը</w:t>
            </w:r>
          </w:p>
        </w:tc>
        <w:tc>
          <w:tcPr>
            <w:tcW w:w="5070" w:type="dxa"/>
            <w:noWrap/>
          </w:tcPr>
          <w:p>
            <w:pPr/>
            <w:r>
              <w:rPr/>
              <w:t xml:space="preserve">Սուբսիդավորման չափը</w:t>
            </w:r>
          </w:p>
        </w:tc>
      </w:tr>
      <w:tr>
        <w:trPr/>
        <w:tc>
          <w:tcPr>
            <w:tcW w:w="9750" w:type="dxa"/>
            <w:noWrap/>
          </w:tcPr>
          <w:p>
            <w:pPr/>
            <w:r>
              <w:rPr/>
              <w:t xml:space="preserve">Սիրողական դասի հեծանիվի ձեռքբերում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վարկի տոկոսադրույքի տարեկան 12% չափով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ՄԻՋՈՑԱՌՄԱՆ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ՄԱՆՐԱՄԱՍՆԵՐ</w:t>
      </w:r>
    </w:p>
    <w:p>
      <w:pPr/>
      <w:r>
        <w:rPr/>
        <w:t xml:space="preserve"> </w:t>
      </w:r>
    </w:p>
    <w:p>
      <w:pPr/>
      <w:r>
        <w:rPr/>
        <w:t xml:space="preserve">11․ Սույն միջոցառումը գործելու է մինչև 2025 թվականի դեկտեմբերի 31-ը։</w:t>
      </w:r>
    </w:p>
    <w:p>
      <w:pPr/>
      <w:r>
        <w:rPr/>
        <w:t xml:space="preserve">12․ Սույն միջոցառմանը կարող են մասնակցել հավելվածում նշված պայմանները բավարարող բոլոր շահառուները՝ անկախ նախկինում պետական աջակցության միջոցառումներին մասնակցած լինելու փաստից։</w:t>
      </w:r>
    </w:p>
    <w:p>
      <w:pPr>
        <w:numPr>
          <w:ilvl w:val="0"/>
          <w:numId w:val="11"/>
        </w:numPr>
      </w:pPr>
      <w:r>
        <w:rPr/>
        <w:t xml:space="preserve">Սույն հավելվածի 6-րդ կետով նախատեսված սուբսիդավորման ժամկետները և այլ պայմանները կարող են փոփոխվել Հայաստանի Հանրապետության կառավարության որոշմամբ:</w:t>
      </w:r>
    </w:p>
    <w:p>
      <w:pPr>
        <w:numPr>
          <w:ilvl w:val="0"/>
          <w:numId w:val="11"/>
        </w:numPr>
      </w:pPr>
      <w:r>
        <w:rPr/>
        <w:t xml:space="preserve">Միջոցառման շրջանակներում ֆինանսական կազմակերպությունները տարեկան մեկ անգամ (հաշվետու տարվա ավարտից հետո) պարտավոր են Հայաստանի Հանրապետության կրթության, գիտության, մշակույթի և սպորտի նախարարությանը տրամադրել միջոցառման պայմաններին համապատասխանության վերաբերյալ մոնիթորինգային հաշվետվություն: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0A9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BE1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A92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7415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4A310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A63B3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09D2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F425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AA068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4944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2026-04-01T20:28:06+04:00</dcterms:created>
  <dcterms:modified xsi:type="dcterms:W3CDTF">2026-04-01T20:28:06+04:00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