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ՆՈՅԵՄԲԵՐԻ 2-Ի N1911-Ն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    » -------------ի 2024 թվականի N   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ՆՈՅԵՄԲԵՐԻ 2-Ի N1911-Ն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հոդվածների պահանջները՝ Հայաստանի Հանրապետության կառավարությունը  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2006 թվականի նոյեմբերի 2-ի «Հայաuտանի Հանրապետության մարզերի առողջապահության համակարգերի oպտիմալացման ծրագրերը հաuտատելու մաuին» N1911-Ն որոշման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որոշմամբ հաստատված N2 հավելվածի Հայաստանի Հանրապետության Արմավիրի մարզի առողջապահության համակարգի օպտիմալացման ծրագրի Արմավիրի մարզի օպտիմալացման պլանի «I. Արմավիրի տարածաշրջան» բաժնում ներկայացված Մեծամոր քաղաքի՝</w:t>
      </w:r>
    </w:p>
    <w:p>
      <w:pPr/>
      <w:r>
        <w:rPr/>
        <w:t xml:space="preserve">ա. 1-ին կետի աղյուսակից հանել՝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Վիրաբուժական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44%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տողը.</w:t>
      </w:r>
    </w:p>
    <w:p>
      <w:pPr/>
      <w:r>
        <w:rPr/>
        <w:t xml:space="preserve">     բ. 1-ին կետի աղյուսակի՝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59%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76</w:t>
            </w:r>
          </w:p>
        </w:tc>
      </w:tr>
    </w:tbl>
    <w:p>
      <w:pPr/>
      <w:r>
        <w:rPr/>
        <w:t xml:space="preserve"> տողը շարադրել հետևյալ խմբագրությամբ՝ «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62%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61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              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                       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10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51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A2E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