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«Վարչական իրավախախտումների վերաբերյալ Հայաստանի Հանրապետության օրենսգրքում լրացումներ կատարելու մասին» ՀՀ օրենքի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ՎԱՐՉԱԿԱՆ ԻՐԱՎԱԽԱԽՏՈՒՄՆԵՐԻ ՎԵՐԱԲԵՐՅԱԼ ՀԱՅԱՍՏԱՆԻ ՀԱՆՐԱՊԵՏՈՒԹՅԱՆ ՕՐԵՆՍԳՐՔՈՒՄ ԼՐԱՑՈՒՄՆԵՐ ԿԱՏԱՐԵԼՈՒ 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1.</w:t>
      </w:r>
      <w:r>
        <w:rPr>
          <w:b w:val="1"/>
          <w:bCs w:val="1"/>
        </w:rPr>
        <w:t xml:space="preserve"> </w:t>
      </w:r>
      <w:r>
        <w:rPr/>
        <w:t xml:space="preserve">1985 թվականի դեկտեմբերի 6-ի Վարչական իրավախախտումների վերաբերյալ Հայաստանի Հանրապետության օրենսգրքի 170</w:t>
      </w:r>
      <w:r>
        <w:rPr>
          <w:vertAlign w:val="superscript"/>
        </w:rPr>
        <w:t xml:space="preserve">6</w:t>
      </w:r>
      <w:r>
        <w:rPr>
          <w:vertAlign w:val="superscript"/>
        </w:rPr>
        <w:t xml:space="preserve"> </w:t>
      </w:r>
      <w:r>
        <w:rPr/>
        <w:t xml:space="preserve">-րդ հոդվածում լրացնել հետևյալ բովանդակությամբ 3-րդ և 4-րդ պարբերություններ.</w:t>
      </w:r>
    </w:p>
    <w:p>
      <w:pPr/>
      <w:r>
        <w:rPr/>
        <w:t xml:space="preserve">«Հարկ վճարողի կողմից հսկիչ (նույնականացման) նշանների վերաբերյալ հսկիչ դրամարկղային մեքենայի տեղեկատվական կտրոնի միջոցով տպագրվող տեղեկատվությունը հարկային մարմնի միասնական շտեմարան չփոխանցելը կամ սխալ տվյալներ փոխանցելը՝</w:t>
      </w:r>
    </w:p>
    <w:p>
      <w:pPr/>
      <w:r>
        <w:rPr/>
        <w:t xml:space="preserve">առաջացնում է տուգանքի նշանակում` սահմանված նվազագույն աշխատավարձի քսանապատիկից մինչև երեսնապատիկի չափով:»։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Սույն օրենքն ուժի մեջ է մտնում պաշտոնական հրապարակման օրը ներառող ամսվան հաջորդող չորրորդ ամսվա 1-ից: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2026-04-02T23:21:19+04:00</dcterms:created>
  <dcterms:modified xsi:type="dcterms:W3CDTF">2026-04-02T23:21:19+04:00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