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փետրվարի 17-ի  N 174-Ն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----------- 2024 թվականի N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2011 ԹՎԱԿԱՆԻ ՓԵՏՐՎԱՐԻ 17-Ի N 174-Ն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հոդվածների 1-ին մասերով`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փետրվարի 17-ի «Ինտերնետով հրապարակային ծանուցման ներկայացման և կայքը վարող անձին փոխանցման, կայքում հրապարակային ծանուցումների տեղադրման ու տեղեկատվության արխիվացման ժամկետների սահմանման կարգը և ինտերնետով հրապարակային ծանուցման ենթակա հայտարարության էլեկտրոնային ձեւաչափը հաստատելու մասին» N 174-Ն որոշման (այսուհետ՝ որոշում) մեջ կատարել հետևյալ փոփոխությունները և լրացումները.</w:t>
      </w:r>
    </w:p>
    <w:p>
      <w:pPr/>
      <w:r>
        <w:rPr/>
        <w:t xml:space="preserve">      1) որոշման 1-ին կետի 1-ին ենթակետով հաստատված հավելված 1-ում՝</w:t>
      </w:r>
    </w:p>
    <w:p>
      <w:pPr/>
      <w:r>
        <w:rPr/>
        <w:t xml:space="preserve">      ա. 15-րդ կետում «ձևաչափի» բառը փոխարինել «Ձև 2-ի» բառերով,</w:t>
      </w:r>
    </w:p>
    <w:p>
      <w:pPr/>
      <w:r>
        <w:rPr/>
        <w:t xml:space="preserve">      բ. 3-րդ գլխից հետո լրացնել 4-րդ գլուխ՝ հետևյալ բովանդակությամբ.</w:t>
      </w:r>
    </w:p>
    <w:p>
      <w:pPr>
        <w:jc w:val="center"/>
      </w:pPr>
      <w:r>
        <w:rPr/>
        <w:t xml:space="preserve">«IV. ԱՆՀԱՏԻ ԽԻՍՏ ՆՈՒՅՆԱԿԱՆԱՑՄԱՆ ԾՐԱԳՐԱՅԻՆ ԳՈՐԾԻՔՆԵՐԻ ԿԻՐԱՌՄԱՄԲ ԵՎ ԷԼԵԿՏՐՈՆԱՅԻՆ ԹՎԱՅԻՆ ՍՏՈՐԱԳՐՈՒԹՅԱՄԲ ՀՐԱՊԱՐԱԿԱՅԻՆ ԾԱՆՈՒՑՄԱՆ ՀՐԱՊԱՐԱԿՄԱՆ ԸՆԹԱՑԱԿԱՐԳԸ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21. Հայաստանի Հանրապետության կառավարության 2017 թվականի մայիսի 25-ի N 572-Ն որոշմամբ սահմանված կարգով անհատի խիստ նույնականացման ծրագրային գործիքների կիրառմամբ հրապարակող անձը մուտք է գործում կայք, լրացնում է անհրաժեշտ տեղեկատվական դաշտերը՝ անհրաժեշտության դեպքում կցելով նաև այլ տեղեկատվություն:</w:t>
      </w:r>
    </w:p>
    <w:p>
      <w:pPr>
        <w:numPr>
          <w:ilvl w:val="0"/>
          <w:numId w:val="3"/>
        </w:numPr>
      </w:pPr>
      <w:r>
        <w:rPr/>
        <w:t xml:space="preserve">Հրապարակող անձը պետք է ընտրի «Ուղարկել ծանուցում» բաժինը և համապատասխան դաշտում նշի «Հրապարակային անհատական ծանուցում» տեսակը, եթե հրապարակվող հայտարարությունը վերաբերվում է ֆիզիկական կամ իրավաբանական անձին, որին արդեն ուղարկվել է նույն բովանդակությամբ անհատական ծանուցում, որի դեպքում հրապարակային ծանուցման տեքստը պետք է պարունակի անհատական ծանուցման առնվազն ողջ բովանդակությունը՝ առանց փոփոխությունների:</w:t>
      </w:r>
    </w:p>
    <w:p>
      <w:pPr>
        <w:numPr>
          <w:ilvl w:val="0"/>
          <w:numId w:val="3"/>
        </w:numPr>
      </w:pPr>
      <w:r>
        <w:rPr/>
        <w:t xml:space="preserve">Հրապարակային ծանուցումը հանձնելիս՝ հրապարակային ծանուցում հրապարակող անձին տրվում է հրապարակային ծանուցման նույնականացման համար:</w:t>
      </w:r>
    </w:p>
    <w:p>
      <w:pPr>
        <w:numPr>
          <w:ilvl w:val="0"/>
          <w:numId w:val="3"/>
        </w:numPr>
      </w:pPr>
      <w:r>
        <w:rPr/>
        <w:t xml:space="preserve">Սույն կարգի 21-րդ կետին համապատասխան էլեկտրոնային ձևաչափով ներկայացված հայտարարությունը՝ համաձայն Ձև 1-ի, փոխանցվում է կայքը վարող աշխատողին, ով ստուգում է էլեկտրոնային թվային ստորագրության վավերականությունը, ինչպես նաև համապատասխանությունը Ձև 1-ի պահանջներին և երկու աշխատանքային օրվա ընթացքում հայտարարությունը տեղադրում է կայքի համապատասխան բաժնում: Եթե «Ուղարկել ծանուցում» բաժնում համապատասխան դաշտում նշվել է «Հրապարակային անհատական ծանուցում» տեսակը, ապա հայտարարությունը ուղարկվում է տվյալ անձի պաշտոնական էլեկտրոնային փոստին և ինքնաշխատ կերպով տեղադրվում է կայքի համապատասխան բաժնում:</w:t>
      </w:r>
    </w:p>
    <w:p>
      <w:pPr>
        <w:numPr>
          <w:ilvl w:val="0"/>
          <w:numId w:val="3"/>
        </w:numPr>
      </w:pPr>
      <w:r>
        <w:rPr/>
        <w:t xml:space="preserve">Սույն կարգի 21-րդ կետին համապատասխան ներկայացված հայտարարությունը համարվում է ներկայացված՝ կայքի «Իմ հայտարարությունները» բաժնում տվյալ նույնականացման համար ունեցող ծանուցման տողում «Հաստատված է» պիտակի առկայության դեպքում: Կայքը տրամադրում է նաև ինքնաշխատ գեներացվող անդորրագիր:</w:t>
      </w:r>
    </w:p>
    <w:p>
      <w:pPr>
        <w:numPr>
          <w:ilvl w:val="0"/>
          <w:numId w:val="3"/>
        </w:numPr>
      </w:pPr>
      <w:r>
        <w:rPr/>
        <w:t xml:space="preserve">Հայտարարությունը հրապարակային ծանուցում հրապարակող անձի կողմից չեղարկվելու համար կայքի «Իմ հայտարարությունները» բաժնում տվյալ նույնականացման համար ունեցող ծանուցման տողում ընտրվում է չեղարկել հրահանգը՝ նշելով պատճառը:</w:t>
      </w:r>
    </w:p>
    <w:p>
      <w:pPr>
        <w:numPr>
          <w:ilvl w:val="0"/>
          <w:numId w:val="3"/>
        </w:numPr>
      </w:pPr>
      <w:r>
        <w:rPr/>
        <w:t xml:space="preserve">Հայտարարությունը համարվում է չեղարկված՝ կայքի «Իմ հայտարարությունները» բաժնում տվյալ նույնականացման համար ունեցող ծանուցման տողում «Չեղարկված է» պիտակի առկայության դեպքում: Կայքը տրամադրում է նաև ինքնաշխատ գեներացվող անդորրագիր:</w:t>
      </w:r>
    </w:p>
    <w:p>
      <w:pPr>
        <w:numPr>
          <w:ilvl w:val="0"/>
          <w:numId w:val="3"/>
        </w:numPr>
      </w:pPr>
      <w:r>
        <w:rPr/>
        <w:t xml:space="preserve">Այն դեպքերում, երբ Հայաստանի Հանրապետության պաշտպանության նախարարությունը սույն կարգի 21-րդ կետին համապատասխան ներկայացնոմ է հայտարարություն՝ այն դիտելու համար անհրաժեշտ է կայքի համապատասխան բաժնում մուտքագրել ծանուցվող ֆիզիկական անձի անձը հաստատող փաստաթղթի (անձնագիր կամ նույնականացման քարտ) համարը կամ վարորդական վկայականի համարը և հանրային ծառայությունների համարանիշը, ինչպես նաև հաստատել բջջային հեռախոսահամարը: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պաշտպանության նախարարության կողմից սույն կարգի համաձայն հրապարակված հայտարարությունները ենթակա չեն բաժանորդագրության: Դրանք չեն ցուցադրվում նաև որոնման արդյունքներում:»,</w:t>
      </w:r>
    </w:p>
    <w:p>
      <w:pPr/>
      <w:r>
        <w:rPr/>
        <w:t xml:space="preserve">գ. լրացնել Ձև 1՝ հետևյալ բովանդակությամբ.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 «Ձև N 1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ՀՐԱՊԱՐԱԿԱՅԻՆ</w:t>
      </w:r>
      <w:r>
        <w:rPr/>
        <w:t xml:space="preserve"> </w:t>
      </w:r>
      <w:r>
        <w:rPr>
          <w:b w:val="1"/>
          <w:bCs w:val="1"/>
        </w:rPr>
        <w:t xml:space="preserve">ԱՆՀԱՏԱԿԱՆ</w:t>
      </w:r>
      <w:r>
        <w:rPr/>
        <w:t xml:space="preserve"> </w:t>
      </w:r>
      <w:r>
        <w:rPr>
          <w:b w:val="1"/>
          <w:bCs w:val="1"/>
        </w:rPr>
        <w:t xml:space="preserve">ԾԱՆՈՒՑՈՒՄ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ՏԵՍԱԿԻ</w:t>
      </w:r>
      <w:r>
        <w:rPr/>
        <w:t xml:space="preserve"> </w:t>
      </w:r>
      <w:r>
        <w:rPr>
          <w:b w:val="1"/>
          <w:bCs w:val="1"/>
        </w:rPr>
        <w:t xml:space="preserve">ՀԱՅՏԱՐԱՐՈՒԹՅԱՆ</w:t>
      </w:r>
      <w:r>
        <w:rPr/>
        <w:t xml:space="preserve"> </w:t>
      </w:r>
      <w:r>
        <w:rPr>
          <w:b w:val="1"/>
          <w:bCs w:val="1"/>
        </w:rPr>
        <w:t xml:space="preserve">ՖՈՐՄԱՏ</w:t>
      </w:r>
    </w:p>
    <w:tbl>
      <w:tblGrid>
        <w:gridCol w:w="3825" w:type="dxa"/>
        <w:gridCol w:w="6945" w:type="dxa"/>
      </w:tblGrid>
      <w:tblPr>
        <w:tblW w:w="0" w:type="dxa"/>
        <w:tblLayout w:type="autofit"/>
      </w:tblPr>
      <w:tr>
        <w:trPr/>
        <w:tc>
          <w:tcPr>
            <w:tcW w:w="3825" w:type="dxa"/>
            <w:noWrap/>
          </w:tcPr>
          <w:p>
            <w:pPr/>
            <w:r>
              <w:rPr/>
              <w:t xml:space="preserve">Հայտատուի տվյալները</w:t>
            </w:r>
          </w:p>
          <w:p>
            <w:pPr/>
            <w:r>
              <w:rPr/>
              <w:t xml:space="preserve">(լրացվում է ինքնաշխատ կայքի կողմից՝ կայք մուտք գործելիս և դեր ընտրելիս)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Ֆիզիկական անձի անունը, ազգանունը և ՀԾՀ, իսկ պետական կամ տեղական ինքնակառավարման մարմնի և իրավաբանական անձի դեպքում՝ լրիվ անվանումը և ՀՎՀՀ: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Հայտարարության իրավական հիմքը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Այն իրավական ակտը, որով սահմանված է հայտարարություն ներկայացնելու պահանջը: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Ծանուցման վերնագիրը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Պետք է պարունակի իրավական ակտով սահմանված հայտարարության անվանումը: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Ծանուցման տեքստը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Ներկայացվում է իրավական ակտով նախատեսված հայտարարության բովանդակությունը, իսկ եթե հայտարարության բովանդակությունը գերազանցում է 1000 նիշը, ապա այս տողում լրացվում է հայտարարության համառոտ բովանդակությունը, իսկ հայտարարության ամբողջական տեքստը ներկայացվում է կից նյութի տեսքով՝ PDF ձևաչափով: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Հայտարարության արդիականության ժամկետը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Սահմանում է հայտարարությունը ներկայացնողը:</w:t>
            </w:r>
          </w:p>
        </w:tc>
      </w:tr>
      <w:tr>
        <w:trPr/>
        <w:tc>
          <w:tcPr>
            <w:tcW w:w="3825" w:type="dxa"/>
            <w:noWrap/>
          </w:tcPr>
          <w:p>
            <w:pPr/>
            <w:r>
              <w:rPr/>
              <w:t xml:space="preserve">Հայտարարությունը տալու իրավասություն ունեցող անձի տվյալները</w:t>
            </w:r>
          </w:p>
        </w:tc>
        <w:tc>
          <w:tcPr>
            <w:tcW w:w="6945" w:type="dxa"/>
            <w:noWrap/>
          </w:tcPr>
          <w:p>
            <w:pPr/>
            <w:r>
              <w:rPr/>
              <w:t xml:space="preserve">Հայտարարությունը տալու իրավասություն ունեցող անձի զբաղեցրած պաշտոնը:</w:t>
            </w:r>
          </w:p>
        </w:tc>
      </w:tr>
    </w:tbl>
    <w:p>
      <w:pPr/>
      <w:r>
        <w:rPr/>
        <w:t xml:space="preserve">».</w:t>
      </w:r>
    </w:p>
    <w:p>
      <w:pPr/>
      <w:r>
        <w:rPr/>
        <w:t xml:space="preserve">2) որոշման 1-ին կետի 2-րդ ենթակետով հաստատված հավելված 2-ում՝</w:t>
      </w:r>
    </w:p>
    <w:p>
      <w:pPr/>
      <w:r>
        <w:rPr/>
        <w:t xml:space="preserve">ա. 1-ին կետում «ձևաչափին» բառը փոխարինել «Ձև 2-ին» բառերով,</w:t>
      </w:r>
    </w:p>
    <w:p>
      <w:pPr/>
      <w:r>
        <w:rPr/>
        <w:t xml:space="preserve">բ. 2-րդ կետում «ձևի» բառը փոխարինել «Ձև 2-ի» բառերով,</w:t>
      </w:r>
    </w:p>
    <w:p>
      <w:pPr/>
      <w:r>
        <w:rPr/>
        <w:t xml:space="preserve">գ. 5-րդ կետից հետո «Ձև» բառը փոխարինել «Ձև 2»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ՀԱՅԱՍՏԱՆՒ ՀԱՆՐԱՊԵՏՈՒԹՅԱՆ </w:t>
      </w:r>
    </w:p>
    <w:p>
      <w:pPr/>
      <w:r>
        <w:rPr/>
        <w:t xml:space="preserve">ՎԱՐՉԱՊԵՏ Ն ՓԱՇԻՆՅԱՆ</w:t>
      </w:r>
    </w:p>
    <w:p>
      <w:pPr/>
      <w:r>
        <w:rPr/>
        <w:t xml:space="preserve">ք. Երևան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799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D8AB89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432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2026-04-01T12:45:24+04:00</dcterms:created>
  <dcterms:modified xsi:type="dcterms:W3CDTF">2026-04-01T12:45:24+04:00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