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ՏԱՐԱԾՔՈՒՄ ԹԱՆԿԱՐԺԵՔ ՄԵՏԱՂՆԵՐԻ ԱՐՏԱԴՐՈՒԹՅՈՒՆ, ԹԱՆԿԱՐԺԵՔ ՔԱՐԵՐԻ ՄՇԱԿՈՒՄ, ԹԱՆԿԱՐԺԵՔ ՄԵՏԱՂՆԵՐԻ ԵՎ ԹԱՆԿԱՐԺԵՔ ՔԱՐԵՐԻ ՇՐՋԱՆԱՌՈՒԹՅՈՒՆ ԻՐԱԿԱՆԱՑՆՈՂ ԻՐԱՎԱԲԱՆԱԿԱՆ ԱՆՁԱՆՑ ԵՎ ԱՆՀԱՏ ՁԵՌՆԱՐԿԱՏԵՐԵՐԻ ՌԵԵՍՏՐԻ ՎԱՐՄԱՆ ԵՎ ՌԵԵՍՏՐՈՒՄ ՀԱՇՎԱՌՄԱՆ ԿԱՆԳՆԵԼՈՒ ԿԱՐԳԸ ՀԱՍՏԱՏԵԼՈՒ ՄԱՍԻՆ</w:t>
      </w:r>
      <w:bookmarkEnd w:id="0"/>
    </w:p>
    <w:p>
      <w:pPr/>
      <w:r>
        <w:rPr/>
        <w:t xml:space="preserve">    Ղեկավարվելով «Եվրասիական տնտեսական միության շրջանակներում թանկարժեք մետաղների և թանկարժեք քարերի հետ գործառնությունների իրականացման առանձնահատկությունների մասին»  համաձայնագրի (այսուհետ՝ Համաձայնագիր) 4-րդ հոդվածի 1-ին կետի ա) ենթակետով, «Թանկարժեք մետաղների մասին» օրենքի 11.1-ին հոդվածով և հիմք ընդունելով Հայաստանի Հանրապետության կառավարության 2024 թվականի ապրիլի 12-ի N 485-Ն որոշումը և Հայաստանի Հանրապետության վարչապետի 2019 թվականի հունիսի 1-ի N 658-Լ որոշման հավելվածի 18-րդ կետի 21-րդ ենթակետը ․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 Ր Ա Մ Ա Յ ՈՒ Մ   Ե Մ</w:t>
      </w:r>
      <w:r>
        <w:rPr>
          <w:b w:val="1"/>
          <w:bCs w:val="1"/>
        </w:rPr>
        <w:t xml:space="preserve">․</w:t>
      </w:r>
    </w:p>
    <w:p>
      <w:pPr/>
      <w:r>
        <w:rPr/>
        <w:t xml:space="preserve">       1․   Հաստատել Հայաստանի Հանրապետության տարածքում թանկարժեք մետաղների արտադրություն,                        թանկարժեք քարերի մշակում, թանկարժեք մետաղների և թանկարժեք քարերի շրջանառություն                                իրականացնող իրավաբանական անձանց և անհատ ձեռնարկատերերի ռեեստրի վարման և ռեեստրում                    հաշվառման կանգնելու կարգը՝ համաձայն հավելվածի։</w:t>
      </w:r>
    </w:p>
    <w:p>
      <w:pPr>
        <w:numPr>
          <w:ilvl w:val="0"/>
          <w:numId w:val="2"/>
        </w:numPr>
      </w:pPr>
      <w:r>
        <w:rPr/>
        <w:t xml:space="preserve"> Հայաստանի Հանրապետության տարածքում թանկարժեք մետաղների արտադրություն, թանկարժեք քարերի մշակում, թանկարժեք մետաղների և թանկարժեք քարերի շրջանառություն իրականացնող իրավաբանական անձանց և անհատ ձեռնարկատերերի ռեեստրի վարման լիազորված ստորաբաժանում սահմանել Հայաստանի Հանրապետության էկոնոմիկայի նախարարության լիցենզավորման և թույլտվությունների վարչությունը։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էկոնոմիկայի նախարարության լրատվության և հասարակայնության հետ կապերի վարչության պետին՝ սույն հրամանը ստորագրելուց հետո 2 աշխատանքային օրվա ընթացքում ապահովել սույն հրամանով հաստատված կարգի, «Եվրասիական տնտեսական միության շրջանակներում թանկարժեք մետաղների և թանկարժեք քարերի հետ գործառնությունների իրականացման առանձնահատկությունների մասին»  համաձայնագրին վերաբերող Եվրասիական տնտեսական միության իրավական ակտերի, ինչպես նաև՝ Ռեեստրի հասանելիությունը Հայաստանի Հանրապետության էկոնոմիկայի նախարարության պաշտոնական կայքում տեղադրման միջոցով:</w:t>
      </w:r>
    </w:p>
    <w:p>
      <w:pPr>
        <w:numPr>
          <w:ilvl w:val="0"/>
          <w:numId w:val="2"/>
        </w:numPr>
      </w:pPr>
      <w:r>
        <w:rPr/>
        <w:t xml:space="preserve">Սույն հրամանի կատարման նկատմամբ հսկողությունը վերապահել Հայաստանի Հանրապետության էկոնոմիկայի նախարարի տեղակալ Նարեկ Տերյանին։</w:t>
      </w:r>
    </w:p>
    <w:p>
      <w:pPr>
        <w:numPr>
          <w:ilvl w:val="0"/>
          <w:numId w:val="2"/>
        </w:numPr>
      </w:pPr>
      <w:r>
        <w:rPr/>
        <w:t xml:space="preserve">Սույն հրամանն ուժի մեջ է մտնում Հայաստանի Հանրապետության էկոնոմիկայի նախարարության պաշտոնական կայքում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                       ՆԱԽԱՐԱՐ                                                                                       ԳԵՎՈՐԳ ՊԱՊՈՅԱՆ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</w:t>
      </w:r>
    </w:p>
    <w:p>
      <w:pPr>
        <w:jc w:val="end"/>
      </w:pPr>
      <w:r>
        <w:rPr>
          <w:b w:val="1"/>
          <w:bCs w:val="1"/>
        </w:rPr>
        <w:t xml:space="preserve">ՀՀ  Էկոնոմիկայի նախարարի</w:t>
      </w:r>
    </w:p>
    <w:p>
      <w:pPr>
        <w:jc w:val="end"/>
      </w:pPr>
      <w:r>
        <w:rPr>
          <w:b w:val="1"/>
          <w:bCs w:val="1"/>
        </w:rPr>
        <w:t xml:space="preserve">___  _______2024թ. N_____-L հրամանի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ԿԱՐԳ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ՏԱՐԱԾՔՈՒՄ ԹԱՆԿԱՐԺԵՔ ՄԵՏԱՂՆԵՐԻ ԱՐՏԱԴՐՈՒԹՅՈՒՆ, ԹԱՆԿԱՐԺԵՔ ՔԱՐԵՐԻ ՄՇԱԿՈՒՄ, ԹԱՆԿԱՐԺԵՔ ՄԵՏԱՂՆԵՐԻ ԵՎ ԹԱՆԿԱՐԺԵՔ ՔԱՐԵՐԻ ՇՐՋԱՆԱՌՈՒԹՅՈՒՆ ԻՐԱԿԱՆԱՑՆՈՂ ԻՐԱՎԱԲԱՆԱԿԱՆ ԱՆՁԱՆՑ ԵՎ ԱՆՀԱՏ ՁԵՌՆԱՐԿԱՏԵՐԵՐԻ</w:t>
      </w:r>
      <w:r>
        <w:rPr>
          <w:b w:val="1"/>
          <w:bCs w:val="1"/>
        </w:rPr>
        <w:t xml:space="preserve"> ՌԵԵՍՏՐԻ ՎԱՐՄԱՆ ԵՎ ՌԵԵՍՏՐՈՒՄ ՀԱՇՎԱՌՄԱՆ ԿԱՆԳՆԵԼՈՒ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ԸՆԴՀԱՆՈՒՐ ԴՐՈՒՅԹՆԵՐ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/>
        <w:t xml:space="preserve">Սույն կարգով (այսուհետ՝ Կարգ) կարգավորվում են Հայաստանի Հանրապետության տարածքում թանկարժեք մետաղների արտադրություն, թանկարժեք քարերի մշակում, թանկարժեք մետաղների և թանկարժեք քարերի շրջանառություն իրականացնող իրավաբանական անձանց և անհատ ձեռնարկատերերի ռեեստրի վարման և ռեեստրում հաշվառման կանգնելու հետ կապված հարաբերությունները։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տարածքում թանկարժեք մետաղների արտադրություն, թանկարժեք քարերի մշակում, թանկարժեք մետաղների և թանկարժեք քարերի շրջանառություն իրականացնող իրավաբանական անձինք և անհատ ձեռնարկատերերը (այսուհետ՝ Անձ) ենթակա են հաշվառման Հայաստանի Հանրապետության տարածքում թանկարժեք մետաղների արտադրություն, թանկարժեք քարերի մշակում, թանկարժեք մետաղների և թանկարժեք քարերի շրջանառություն իրականացնող իրավաբանական անձանց և անհատ ձեռնարկատերերի ռեեստրում (այսուհետ՝ Ռեեստր), բացառությամբ՝</w:t>
      </w:r>
    </w:p>
    <w:p>
      <w:pPr/>
      <w:r>
        <w:rPr/>
        <w:t xml:space="preserve">1) վարկային կազմակերպությունների և բանկերի.</w:t>
      </w:r>
    </w:p>
    <w:p>
      <w:pPr/>
      <w:r>
        <w:rPr/>
        <w:t xml:space="preserve">2) կազմակերպությունների, որոնք իրենց գործունեության մեջ օգտագործում են թանկարժեք մետաղների քիմիական միացություններ անալիզի համար.</w:t>
      </w:r>
    </w:p>
    <w:p>
      <w:pPr/>
      <w:r>
        <w:rPr/>
        <w:t xml:space="preserve">3) կազմակերպությունների, որոնք զբաղվում են թանկարժեք մետաղների քիմիական միացություններ պարունակող դեղագործական, օծանելիքի և (կամ) կոսմետիկ արտադրանքի պատրաստի ձևերի առքուվաճառքով և (կամ) օգտագործմամբ.</w:t>
      </w:r>
    </w:p>
    <w:p>
      <w:pPr/>
      <w:r>
        <w:rPr/>
        <w:t xml:space="preserve">4) ուսումնական կազմակերպությունների, որոնք իրենց գործունեության մեջ օգտագործում են թանկարժեք մետաղների քիմիական միացություններ ուսումնական գործընթացներ իրականացնելիս.</w:t>
      </w:r>
    </w:p>
    <w:p>
      <w:pPr/>
      <w:r>
        <w:rPr/>
        <w:t xml:space="preserve">5) կազմակերպությունների, որոնք զբաղվում են արծաթ պարունակող լուսանկարչական թիթեղների, լուսանկարչական և (կամ) ֆիլմերի, լուսանկարչական թղթի և այլ լուսազգայուն լուսանկարչական նյութերի առքուվաճառքով և (կամ) օգտագործմամբ.</w:t>
      </w:r>
    </w:p>
    <w:p>
      <w:pPr/>
      <w:r>
        <w:rPr/>
        <w:t xml:space="preserve">6) կազմակերպությունների, որոնք զբաղվում են թանկարժեք մետաղներ պարունակող ներկերի և (կամ) լաքերի արտադրանքի առքուվաճառքով և (կամ) օգտագործմամբ.</w:t>
      </w:r>
    </w:p>
    <w:p>
      <w:pPr/>
      <w:r>
        <w:rPr/>
        <w:t xml:space="preserve">7) բժշկական կազմակերպությունների, որոնք զբաղվում են թանկարժեք մետաղներից թելերով ամրացմամբ, իմպլանտների, արհեստական ​​ատամների, ատամնաշարերի, պրոթեզային սարքերի տեղադրմամբ, ինչպես նաև՝ ատամնաբուժական ցեմենտների և թանկարժեք մետաղներ պարունակող կամ դրանցից պատրաստված ատամնաբուժական այլ լցոնման նյութերի օգտագործմամբ.</w:t>
      </w:r>
    </w:p>
    <w:p>
      <w:pPr/>
      <w:r>
        <w:rPr/>
        <w:t xml:space="preserve">8) կազմակերպությունների, որոնք զբաղվում են թանկարժեք մետաղներ պարունակող մեքենաների և սարքավորումների, գործիքների, էլեկտրոնային սարքերի, դրանց բաղադրիչների  օգտագործմամբ.</w:t>
      </w:r>
    </w:p>
    <w:p>
      <w:pPr/>
      <w:r>
        <w:rPr/>
        <w:t xml:space="preserve">9) կազմակերպությունների, որոնք օգտագործում են թանկարժեք մետաղներ պարունակող քիմիական միացություններ, համաձուլվածքներ, զոդանյութեր մեքենաների և սարքավորումների, գործիքների, էլեկտրոնային սարքավորումների, բալաստների և ավտոմատացման սարքերի, էլեկտրական սարքերի վերանորոգման համար.</w:t>
      </w:r>
    </w:p>
    <w:p>
      <w:pPr/>
      <w:r>
        <w:rPr/>
        <w:t xml:space="preserve">10) կազմակերպությունների, որոնք գնում և վաճառում և (կամ) իրենց գործունեության մեջ օգտագործում են բնական ադամանդներ պարունակող արդյունաբերական և (կամ) տեխնիկական նպատակներով գործիքներ և (կամ) արտադրանք.</w:t>
      </w:r>
    </w:p>
    <w:p>
      <w:pPr/>
      <w:r>
        <w:rPr/>
        <w:t xml:space="preserve">11) Հայաստանի Հանրապետության Կենտրոնական բանկի.</w:t>
      </w:r>
    </w:p>
    <w:p>
      <w:pPr/>
      <w:r>
        <w:rPr/>
        <w:t xml:space="preserve">12) պետական ​​մարմինների.</w:t>
      </w:r>
    </w:p>
    <w:p>
      <w:pPr/>
      <w:r>
        <w:rPr/>
        <w:t xml:space="preserve">13) թանկարժեք մետաղներով պատված ոչ թանկարժեք մետաղներից պատրաստված արտադրանքի առևտրով զբաղվողների: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ՌԵԵՍՏՐԻ ՎԱՐՈՒՄԸ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6"/>
        </w:numPr>
      </w:pPr>
      <w:r>
        <w:rPr/>
        <w:t xml:space="preserve">Ռեեստրի վարումը, այդ թվում՝ Ռեեստրում փոփոխությունների կատարումը, Ռեեստրում հաշվառման կանգնեցնելու և հաշվառումից հանելու ընթացակարգերի ապահովումը իրականացնում է սույն հրամանի 2-րդ կետով սահմանված լիազորված ստորաբաժանումը։</w:t>
      </w:r>
    </w:p>
    <w:p>
      <w:pPr>
        <w:numPr>
          <w:ilvl w:val="0"/>
          <w:numId w:val="6"/>
        </w:numPr>
      </w:pPr>
      <w:r>
        <w:rPr/>
        <w:t xml:space="preserve">Ռեեստրում Անձի հաշվառման կամ հաշվառումից հանման օր է համարվում ռեեստրում համապատասխան գրանցում կատարելու օրը։</w:t>
      </w:r>
    </w:p>
    <w:p>
      <w:pPr>
        <w:numPr>
          <w:ilvl w:val="0"/>
          <w:numId w:val="6"/>
        </w:numPr>
      </w:pPr>
      <w:r>
        <w:rPr/>
        <w:t xml:space="preserve">Ռեեստրում հաշվառումն իրականացվում է Հայաստանի Հանրապետության էկոնոմիկայի նախարարության (այսուհետ՝ Լիազոր մարմին) լիցենզավորման և թույլտվությունների վարչության կողմից էլեկտրոնային և թղթային ձևաչափով Ռեեստր վարելու միջոցով:</w:t>
      </w:r>
    </w:p>
    <w:p>
      <w:pPr>
        <w:numPr>
          <w:ilvl w:val="0"/>
          <w:numId w:val="6"/>
        </w:numPr>
      </w:pPr>
      <w:r>
        <w:rPr/>
        <w:t xml:space="preserve">Ռեեստրում հաշվառման կանգնելու համար Անձը պետք է բավարարի նաև հետևյալ պահանջներին՝</w:t>
      </w:r>
    </w:p>
    <w:p>
      <w:pPr>
        <w:numPr>
          <w:ilvl w:val="0"/>
          <w:numId w:val="7"/>
        </w:numPr>
      </w:pPr>
      <w:r>
        <w:rPr/>
        <w:t xml:space="preserve">Անձի նկատմամբ հարուցված չէ սնանկության վարույթ․</w:t>
      </w:r>
    </w:p>
    <w:p>
      <w:pPr>
        <w:numPr>
          <w:ilvl w:val="0"/>
          <w:numId w:val="7"/>
        </w:numPr>
      </w:pPr>
      <w:r>
        <w:rPr/>
        <w:t xml:space="preserve">իրավաբանական անձը չի գտնվում լուծարման գործընթացում։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 ՌԵԵՍՏՐՈՒՄ ՀԱՇՎԱՌՄԱՆ ԸՆԹԱՑԱԿԱՐԳԸ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9"/>
        </w:numPr>
      </w:pPr>
      <w:r>
        <w:rPr/>
        <w:t xml:space="preserve">Ռեեստրում հաշվառման կանգնելու համար Անձը պետք է Լիազոր մարմին ներկայացնի հետևյալ փաստաթղթերը՝</w:t>
      </w:r>
    </w:p>
    <w:p>
      <w:pPr/>
      <w:r>
        <w:rPr/>
        <w:t xml:space="preserve">1) դիմում համաձայն N 1 Ձևի.</w:t>
      </w:r>
    </w:p>
    <w:p>
      <w:pPr/>
      <w:r>
        <w:rPr/>
        <w:t xml:space="preserve">2) Հայաստանի Հանրապետության արդարադատության նախարարության իրավաբանական անձանց պետական ռեգիստրի գործակալության վկայականի պատճենը.</w:t>
      </w:r>
    </w:p>
    <w:p>
      <w:pPr/>
      <w:r>
        <w:rPr/>
        <w:t xml:space="preserve">3) իրավաբանական անձի դեպքում՝ գրավոր հայտարարություն իրավաբանական անձի ղեկավարի ստորագրությամբ, որ իրավաբանական անձի նկատմամբ հարուցված չէ սնանկության վարույթ և (կամ) չի գտնվում լուծարման գործընթացում.</w:t>
      </w:r>
    </w:p>
    <w:p>
      <w:pPr/>
      <w:r>
        <w:rPr/>
        <w:t xml:space="preserve">4) անհատ ձեռնարկատիրոջ դեպքում՝ գրավոր հայտարարություն անհատ ձեռնարկատիրոջ ստորագրությամբ, որ անհատ ձեռնարկատիրոջ նկատմամբ հարուցված չէ սնանկության վարույթ և (կամ) չի հանվել Հայաստանի Հանրապետության արդարադատության նախարարության իրավաբանական անձանց պետական ռեգիստրի գործակալության հաշվառումից։</w:t>
      </w:r>
    </w:p>
    <w:p>
      <w:pPr>
        <w:numPr>
          <w:ilvl w:val="0"/>
          <w:numId w:val="10"/>
        </w:numPr>
      </w:pPr>
      <w:r>
        <w:rPr/>
        <w:t xml:space="preserve">Ռեեստրում հաշվառման կանգնելու համար Անձը Լիազոր մարմին է ներկայացնում Կարգի 6-րդ կետով սահմանված փաստաթղթերը թղթային (առձեռն կամ փոստով) կամ էլեկտրոնային եղանակով՝ secretariat@mineconomy.am էլեկտրոնային հասցեին։ Էլեկտրոնային եղանակով դիմելու դեպքում դիմումն անհրաժեշտ է ներկայացնել «Էլեկտրոնային փաստաթղթի և էլեկտրոնային թվային ստորագրության մասին» օրենքին համապատասխան վավերացված էլեկտրոնային ստորագրությամբ: Դիմումն էլեկտրոնային եղանակով ուղարկելու դեպքում դիմումին կից փաստաթղթերը ներկայացվում են փաստաթղթերի սկանավորված էլեկտրոնային պատճենների տեսքով:</w:t>
      </w:r>
    </w:p>
    <w:p>
      <w:pPr>
        <w:numPr>
          <w:ilvl w:val="0"/>
          <w:numId w:val="10"/>
        </w:numPr>
      </w:pPr>
      <w:r>
        <w:rPr/>
        <w:t xml:space="preserve">Լիազոր մարմինը մուտքագրում է Կարգի 6-րդ կետով սահմանված փաստաթղթերը Հայաստանի Հանրապետության էկոնոմիկայի նախարարության «Mulberry» էլեկտրոնային փաստաթղթաշրջանառության համակարգ։</w:t>
      </w:r>
    </w:p>
    <w:p>
      <w:pPr>
        <w:numPr>
          <w:ilvl w:val="0"/>
          <w:numId w:val="10"/>
        </w:numPr>
      </w:pPr>
      <w:r>
        <w:rPr/>
        <w:t xml:space="preserve">Լիազոր մարմնի լիցենզավորման և թույլտվությունների վարչությունը՝ Կարգի 6-րդ կետով սահմանված փաստաթղթերը ստանալու օրվանից հետո 3 աշխատանքային օրվա ընթացքում ստուգում է ներկայացված փաստաթղթերի ամբողջականությունն ու համապատասխանությունը, ինչպես նաև Անձի համապատասխանությունը Կարգով սահմանված պահանջներին։</w:t>
      </w:r>
    </w:p>
    <w:p>
      <w:pPr/>
      <w:r>
        <w:rPr/>
        <w:t xml:space="preserve">10․ Փաստաթղթերի ամբողջականության ու Կարգով սահմանված պահանջներին համապատասխանության դեպքում Լիազոր մարմնի լիցենզավորման և թույլտվությունների վարչությունը Անձին հաշվառման է կանգնեցնում Ռեեստրում և 3 աշխատանքային օրվա ընթացքում այդ մասին պաշտոնական գրությամբ կամ էլեկտրանային փոստի միջոցով ծանուցում է Անձին։</w:t>
      </w:r>
    </w:p>
    <w:p>
      <w:pPr/>
      <w:r>
        <w:rPr/>
        <w:t xml:space="preserve">11․ Անձի ներկայացրած փաստաթղթերում թերություններ հայտնաբերելու դեպքում Լիազոր մարմինը 2 աշխատանքային օրվա ընթացքում այդ մասին տեղեկացնում է Անձին:</w:t>
      </w:r>
    </w:p>
    <w:p>
      <w:pPr/>
      <w:r>
        <w:rPr/>
        <w:t xml:space="preserve">12․ Կարգի 11-րդ կետով սահմանված տեղեկացումը ստանալուց հետո 3 աշխատանքային օրվա ընթացքում Անձը պետք է վերացնի թերությունները և փաստաթղթերը ներկայացնի Լիազոր մարմին: Տվյալ դեպքում, Ռեեստրում հաշվառման գործընթացի սկզբնաժամկետ է հանդիսանում թերությունները վերացրած փաստաթղթերը Լիազոր մարմին ներկայացնելու օրը։</w:t>
      </w:r>
    </w:p>
    <w:p>
      <w:pPr/>
      <w:r>
        <w:rPr/>
        <w:t xml:space="preserve">13․ Ռեեստրում հաշվառելու դիմումը մերժվում է, եթե՝</w:t>
      </w:r>
    </w:p>
    <w:p>
      <w:pPr>
        <w:numPr>
          <w:ilvl w:val="0"/>
          <w:numId w:val="11"/>
        </w:numPr>
      </w:pPr>
      <w:r>
        <w:rPr/>
        <w:t xml:space="preserve">Անձը չի համապատասխանում Կարգի 5-րդ կետով սահմանված պահանջներին.</w:t>
      </w:r>
    </w:p>
    <w:p>
      <w:pPr>
        <w:numPr>
          <w:ilvl w:val="0"/>
          <w:numId w:val="11"/>
        </w:numPr>
      </w:pPr>
      <w:r>
        <w:rPr/>
        <w:t xml:space="preserve">Թերությունները վերացնելու համար սահմանված ժամկետում Անձը չի ներկայացնում թերությունները վերացրած փաստաթղթեր կամ ներկայացնում է թերություններով:</w:t>
      </w:r>
    </w:p>
    <w:p>
      <w:pPr>
        <w:numPr>
          <w:ilvl w:val="0"/>
          <w:numId w:val="12"/>
        </w:numPr>
      </w:pPr>
      <w:r>
        <w:rPr/>
        <w:t xml:space="preserve">Դիմումը մերժելու դեպքում Լիազոր մարմինը 2 աշխատանքային օրվա ընթացքում այդ մասին գրավոր տեղեկացնում է Անձին: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 ՌԵԵՍՏՐԻ ՀԱՇՎԱՌՈՒՄԻՑ ՀԱՆՄԱՆ ՀԻՄՔԵՐԸ</w:t>
      </w:r>
    </w:p>
    <w:p>
      <w:pPr>
        <w:numPr>
          <w:ilvl w:val="0"/>
          <w:numId w:val="12"/>
        </w:numPr>
      </w:pPr>
      <w:r>
        <w:rPr/>
        <w:t xml:space="preserve">Անձը Ռեեստրի հաշվառումից հանվում է հետևյալ հիմքերից մեկով՝</w:t>
      </w:r>
    </w:p>
    <w:p>
      <w:pPr>
        <w:numPr>
          <w:ilvl w:val="0"/>
          <w:numId w:val="13"/>
        </w:numPr>
      </w:pPr>
      <w:r>
        <w:rPr/>
        <w:t xml:space="preserve">Անձը դադարել է բավարարել Կարգի 5-րդ կետով սահմանված պահանջներին.</w:t>
      </w:r>
    </w:p>
    <w:p>
      <w:pPr>
        <w:numPr>
          <w:ilvl w:val="0"/>
          <w:numId w:val="13"/>
        </w:numPr>
      </w:pPr>
      <w:r>
        <w:rPr/>
        <w:t xml:space="preserve">Անձի հիմնադիր փաստաթղթերում կատարված են փոփոխություններ (իրավաբանական անձի դեպքում անվանման կամ գտնվելու վայրի, իսկ անհատ ձեռնարկատեր հանդիսացող ֆիզիկական անձի դեպքում՝ անձնագրային տվյալներում) և Անձի կողմից Կարգի 18-րդ կետով սահմանված ժամկետում դրանց վերաբերյալ տեղեկատվությունը Լիազոր մարմնին չի տրամադրվել.</w:t>
      </w:r>
    </w:p>
    <w:p>
      <w:pPr>
        <w:numPr>
          <w:ilvl w:val="0"/>
          <w:numId w:val="13"/>
        </w:numPr>
      </w:pPr>
      <w:r>
        <w:rPr/>
        <w:t xml:space="preserve">Անձի դիմումի հիման վրա, երբ Անձի կողմից դադարեցվել է գործունեությունը։</w:t>
      </w:r>
    </w:p>
    <w:p>
      <w:pPr>
        <w:numPr>
          <w:ilvl w:val="0"/>
          <w:numId w:val="14"/>
        </w:numPr>
      </w:pPr>
      <w:r>
        <w:rPr/>
        <w:t xml:space="preserve">Անձը Ռեեստրից հանվում է համապատասխան գրառում կատարելու միջոցով և 2 աշխատանքային օրվա ընթացքում այդ մասին գրավոր տեղեկացնում է Անձին՝ նշելով Անձին Ռեեստրից հանելու հիմքը:</w:t>
      </w:r>
    </w:p>
    <w:p>
      <w:pPr>
        <w:numPr>
          <w:ilvl w:val="0"/>
          <w:numId w:val="14"/>
        </w:numPr>
      </w:pPr>
      <w:r>
        <w:rPr/>
        <w:t xml:space="preserve">Անձին Ռեեստրից հանելը կարող է բողոքարկվել Հայաստանի Հանրապետության օրենսդրությամբ սահմանված կարգով։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ՌԵԵՍՏՐՈՒՄ ՀԱՇՎԱՌՎԱԾ ԱՆՁԻ ՊԱՐՏԱԿԱՆՈՒԹՅՈՒՆՆԵՐԸ</w:t>
      </w:r>
    </w:p>
    <w:p>
      <w:pPr>
        <w:numPr>
          <w:ilvl w:val="0"/>
          <w:numId w:val="14"/>
        </w:numPr>
      </w:pPr>
      <w:r>
        <w:rPr/>
        <w:t xml:space="preserve">Անձը պարտավոր է Ռեեստրում հաշվառման կանգնելու համար ներկայացված փաստաթղթերի փոփոխության դեպքում 5 աշխատանքային օրվա ընթացքում դրա մասին գրավոր տեղեկացնել Լիազոր մարմնին և տրամադրել փոփոխված փաստաթղթերը՝Ռեեստրում համապատասխան փոփոխություն կատարելու նպատակով։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 ՌԵԵՍՏՐԻ ՎԱՐՄԱՆ ԼԵԶՈՒՆ ԵՎ ՀԱՍԱՆԵԼԻՈՒԹՅՈՒՆԸ</w:t>
      </w:r>
    </w:p>
    <w:p>
      <w:pPr>
        <w:numPr>
          <w:ilvl w:val="0"/>
          <w:numId w:val="15"/>
        </w:numPr>
      </w:pPr>
      <w:r>
        <w:rPr/>
        <w:t xml:space="preserve">Ռեեստրը վարվում է հայերենով և ռուսերենով համաձայն N 2 Ձևի։</w:t>
      </w:r>
    </w:p>
    <w:p>
      <w:pPr>
        <w:numPr>
          <w:ilvl w:val="0"/>
          <w:numId w:val="15"/>
        </w:numPr>
      </w:pPr>
      <w:r>
        <w:rPr/>
        <w:t xml:space="preserve">Ռեեստրի հասանելիությունն ապահովվում է Լիազոր մարմնի պաշտոնական կայքէջի միջոցով։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Ձև N 1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ՀԱՅԱՍՏԱՆԻ ՀԱՆՐԱՊԵՏՈՒԹՅԱՆ</w:t>
      </w:r>
    </w:p>
    <w:p>
      <w:pPr>
        <w:jc w:val="end"/>
      </w:pPr>
      <w:r>
        <w:rPr/>
        <w:t xml:space="preserve"> ԷԿՈՆՈՄԻԿԱՅԻ ՆԱԽԱՐԱՐՈՒԹՅՈՒՆ</w:t>
      </w:r>
    </w:p>
    <w:p>
      <w:pPr/>
      <w:r>
        <w:rPr/>
        <w:t xml:space="preserve"> </w:t>
      </w:r>
    </w:p>
    <w:p>
      <w:pPr/>
      <w:r>
        <w:rPr/>
        <w:t xml:space="preserve">(Իրավաբանական անձի անվանումը կամ անհատ ձեռնարկատիրոջ անունը, ազգանունը)</w:t>
      </w:r>
    </w:p>
    <w:p>
      <w:pPr/>
      <w:r>
        <w:rPr/>
        <w:t xml:space="preserve">  ՀՎՀՀ    ___________________</w:t>
      </w:r>
    </w:p>
    <w:p>
      <w:pPr/>
      <w:r>
        <w:rPr/>
        <w:t xml:space="preserve"> </w:t>
      </w:r>
    </w:p>
    <w:p>
      <w:pPr/>
      <w:r>
        <w:rPr/>
        <w:t xml:space="preserve">(Իրավաբանական անձի գործունեության իրականացման հասցեն կամ անհատ ձեռնարկատիրոջ բնակության վայրի հասցեն)</w:t>
      </w:r>
    </w:p>
    <w:p>
      <w:pPr/>
      <w:r>
        <w:rPr/>
        <w:t xml:space="preserve"> </w:t>
      </w:r>
    </w:p>
    <w:p>
      <w:pPr/>
      <w:r>
        <w:rPr/>
        <w:t xml:space="preserve">____________________________________________________________________________________________________</w:t>
      </w:r>
    </w:p>
    <w:p>
      <w:pPr/>
      <w:r>
        <w:rPr/>
        <w:t xml:space="preserve">(Իրավաբանական անձի գրանցման հասցեն կամ անհատ ձեռնարկատիրոջ հաշվառման վայրի հասցեն)</w:t>
      </w:r>
    </w:p>
    <w:p>
      <w:pPr/>
      <w:r>
        <w:rPr/>
        <w:t xml:space="preserve">Հեռախոս_________________________________________________________</w:t>
      </w:r>
    </w:p>
    <w:p>
      <w:pPr/>
      <w:r>
        <w:rPr/>
        <w:t xml:space="preserve">Էլեկտրոնային փոստ_______________________________________________</w:t>
      </w:r>
    </w:p>
    <w:p>
      <w:pPr/>
      <w:r>
        <w:rPr/>
        <w:t xml:space="preserve">Այլ տեղեկություններ (անհրաժեշտության դեպքում)________________________________________________ ______________________________________________________________________________________________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Դիմում</w:t>
      </w:r>
    </w:p>
    <w:p>
      <w:pPr/>
      <w:r>
        <w:rPr/>
        <w:t xml:space="preserve">Խնդրում եմ հաշվառել Հայաստանի Հանրապետության տարածքում թանկարժեք մետաղների արտադրություն, թանկարժեք քարերի մշակում, թանկարժեք մետաղների և թանկարժեք քարերի շրջանառություն իրականացնող իրավաբանական անձանց և անհատ ձեռնարկատերերի ռեեստրում։</w:t>
      </w:r>
    </w:p>
    <w:p>
      <w:pPr/>
      <w:r>
        <w:rPr/>
        <w:t xml:space="preserve">Կից ներկայացնում եմ Հայաստանի Հանրապետության տարածքում թանկարժեք մետաղների արտադրություն, թանկարժեք քարերի մշակում, թանկարժեք մետաղների և թանկարժեք քարերի շրջանառություն իրականացնող իրավաբանական անձանց և անհատ ձեռնարկատերերի ռեեստրի վարման և ռեեստրում հաշվառման կանգնելու համար սահմանված փաստաթղթերը և հաստատում եմ սույն դիմումին կից ներկայացված տեղեկատվության հավաստիությունը, ինչպես նաև գիտակցում և կրում եմ դրա համար օրենսդրությամբ սահմանված պատասխանատվություն։</w:t>
      </w:r>
    </w:p>
    <w:p>
      <w:pPr/>
      <w:r>
        <w:rPr/>
        <w:t xml:space="preserve">Համաձայն եմ իմ կողմից ներկայացրած տեղեկատվությունը «Ինտերնետ» տեղեկատվական և հեռահաղորդակցության ցանցում Լիազոր մարմնի պաշտոնական կայքէջում զետեղված Ռեեստրում տեղադրմանը։  </w:t>
      </w:r>
    </w:p>
    <w:p>
      <w:pPr/>
      <w:r>
        <w:rPr/>
        <w:t xml:space="preserve">Դիմող` (իրավաբանական անձի ղեկավար կամ անհատ ձեռնարկատեր)</w:t>
      </w:r>
    </w:p>
    <w:p>
      <w:pPr/>
      <w:r>
        <w:rPr/>
        <w:t xml:space="preserve"> </w:t>
      </w:r>
    </w:p>
    <w:p>
      <w:pPr/>
      <w:r>
        <w:rPr/>
        <w:t xml:space="preserve">--------------------------------------------------------------------------------------------</w:t>
      </w:r>
    </w:p>
    <w:p>
      <w:pPr/>
      <w:r>
        <w:rPr/>
        <w:t xml:space="preserve">     (անուն, ազգանուն, ստորագրություն)</w:t>
      </w:r>
    </w:p>
    <w:p>
      <w:pPr/>
      <w:r>
        <w:rPr/>
        <w:t xml:space="preserve"> </w:t>
      </w:r>
    </w:p>
    <w:p>
      <w:pPr/>
      <w:r>
        <w:rPr/>
        <w:t xml:space="preserve">---------------------------------------------------</w:t>
      </w:r>
    </w:p>
    <w:p>
      <w:pPr/>
      <w:r>
        <w:rPr/>
        <w:t xml:space="preserve">           (ամիս, ամսաթիվ, տարի)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Ձև N 2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ՌԵԵՍՏՐ</w:t>
      </w:r>
    </w:p>
    <w:p>
      <w:pPr>
        <w:jc w:val="center"/>
      </w:pPr>
      <w:r>
        <w:rPr/>
        <w:t xml:space="preserve">ՀԱՅԱՍՏԱՆԻ ՀԱՆՐԱՊԵՏՈՒԹՅԱՆ ՏԱՐԱԾՔՈՒՄ ԹԱՆԿԱՐԺԵՔ ՄԵՏԱՂՆԵՐԻ ԱՐՏԱԴՐՈՒԹՅՈՒՆ, ԹԱՆԿԱՐԺԵՔ ՔԱՐԵՐԻ ՄՇԱԿՈՒՄ, ԹԱՆԿԱՐԺԵՔ ՄԵՏԱՂՆԵՐԻ ԵՎ ԹԱՆԿԱՐԺԵՔ ՔԱՐԵՐԻ ՇՐՋԱՆԱՌՈՒԹՅՈՒՆ ԻՐԱԿԱՆԱՑՆՈՂ ԻՐԱՎԱԲԱՆԱԿԱՆ ԱՆՁԱՆՑ ԵՎ ԱՆՀԱՏ ՁԵՌՆԱՐԿԱՏԵՐԵՐԻ ՀԱՇՎԱՌՄԱՆ ԿԱՆԳՆԵԼՈՒ</w:t>
      </w:r>
    </w:p>
    <w:p>
      <w:pPr>
        <w:jc w:val="center"/>
      </w:pPr>
      <w:r>
        <w:rPr/>
        <w:t xml:space="preserve"> </w:t>
      </w:r>
    </w:p>
    <w:tbl>
      <w:tblGrid>
        <w:gridCol w:w="585" w:type="dxa"/>
        <w:gridCol w:w="2175" w:type="dxa"/>
        <w:gridCol w:w="2220" w:type="dxa"/>
        <w:gridCol w:w="1980" w:type="dxa"/>
        <w:gridCol w:w="885" w:type="dxa"/>
        <w:gridCol w:w="1500" w:type="dxa"/>
        <w:gridCol w:w="1905" w:type="dxa"/>
        <w:gridCol w:w="1620" w:type="dxa"/>
        <w:gridCol w:w="1755" w:type="dxa"/>
      </w:tblGrid>
      <w:tblPr>
        <w:tblW w:w="0" w:type="dxa"/>
        <w:tblLayout w:type="autofit"/>
      </w:tblPr>
      <w:tr>
        <w:trPr/>
        <w:tc>
          <w:tcPr>
            <w:tcW w:w="585" w:type="dxa"/>
            <w:noWrap/>
          </w:tcPr>
          <w:p>
            <w:pPr/>
            <w:r>
              <w:rPr/>
              <w:t xml:space="preserve">Հ/հ</w:t>
            </w:r>
          </w:p>
        </w:tc>
        <w:tc>
          <w:tcPr>
            <w:tcW w:w="2175" w:type="dxa"/>
            <w:noWrap/>
          </w:tcPr>
          <w:p>
            <w:pPr/>
            <w:r>
              <w:rPr/>
              <w:t xml:space="preserve">Իրավաբանական անձի անվանումը կամ անհատ ձեռնարկատիրոջ անուն, ազգանունը</w:t>
            </w:r>
          </w:p>
        </w:tc>
        <w:tc>
          <w:tcPr>
            <w:tcW w:w="2220" w:type="dxa"/>
            <w:noWrap/>
          </w:tcPr>
          <w:p>
            <w:pPr/>
            <w:r>
              <w:rPr/>
              <w:t xml:space="preserve">Գտնվելու վայրը (իրավաբանական անձի գրանցման և գործունեության հասցեն, անհատ ձեռնարկատիրոջ բնակության և հաշվառման վայրի հասցեն)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Տնտեսական գործունեության իրականացման տեսակը (տեսակները)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ՀՎՀՀ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Ղեկավարի անուն, ազգանունը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Կոնտակտային տվյալները (հեռախոս, էլ.փոստ),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Հաշվառման կանգնելու օրը, ամիսը, տարին</w:t>
            </w:r>
          </w:p>
        </w:tc>
        <w:tc>
          <w:tcPr>
            <w:tcW w:w="1755" w:type="dxa"/>
            <w:noWrap/>
          </w:tcPr>
          <w:p>
            <w:pPr/>
            <w:r>
              <w:rPr/>
              <w:t xml:space="preserve">Հաշվառումից հանման օրը, ամիսը, տարին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217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222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755" w:type="dxa"/>
            <w:noWrap/>
          </w:tcPr>
          <w:p>
            <w:pPr/>
            <w:r>
              <w:rPr/>
              <w:t xml:space="preserve">9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5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РЕЕСТР</w:t>
      </w:r>
    </w:p>
    <w:p>
      <w:pPr>
        <w:jc w:val="center"/>
      </w:pPr>
      <w:r>
        <w:rPr/>
        <w:t xml:space="preserve">УЧЕТА ЮРИДИЧЕСКИХ ЛИЦ И ИНДИВИДУАЛЬНЫХ ПРЕДПРИНИМАТЕЛЕЙ, ОСУЩЕСТВЛЯЮЩИХ ПРОИЗВОДСТВО ДРАГОЦЕННЫХ МЕТАЛЛОВ, ОБРАБОТКУ ДРАГОЦЕННЫХ КАМНЕЙ, ОБРАЩЕНИЕ ДРАГОЦЕННЫХ МЕТАЛЛОВ И ДРАГОЦЕННЫХ КАМНЕЙ НА ТЕРРИТОРИИ РЕСПУБЛИКИ АРМЕНИЯ</w:t>
      </w:r>
    </w:p>
    <w:p>
      <w:pPr>
        <w:jc w:val="center"/>
      </w:pPr>
      <w:r>
        <w:rPr/>
        <w:t xml:space="preserve"> </w:t>
      </w:r>
    </w:p>
    <w:tbl>
      <w:tblGrid>
        <w:gridCol w:w="585" w:type="dxa"/>
        <w:gridCol w:w="2130" w:type="dxa"/>
        <w:gridCol w:w="2205" w:type="dxa"/>
        <w:gridCol w:w="1860" w:type="dxa"/>
        <w:gridCol w:w="2130" w:type="dxa"/>
        <w:gridCol w:w="1680" w:type="dxa"/>
        <w:gridCol w:w="1500" w:type="dxa"/>
        <w:gridCol w:w="1560" w:type="dxa"/>
        <w:gridCol w:w="945" w:type="dxa"/>
      </w:tblGrid>
      <w:tblPr>
        <w:tblW w:w="0" w:type="dxa"/>
        <w:tblLayout w:type="autofit"/>
      </w:tblPr>
      <w:tr>
        <w:trPr/>
        <w:tc>
          <w:tcPr>
            <w:tcW w:w="585" w:type="dxa"/>
            <w:noWrap/>
          </w:tcPr>
          <w:p>
            <w:pPr/>
            <w:r>
              <w:rPr/>
              <w:t xml:space="preserve">Հ/հ</w:t>
            </w:r>
          </w:p>
        </w:tc>
        <w:tc>
          <w:tcPr>
            <w:tcW w:w="2130" w:type="dxa"/>
            <w:noWrap/>
          </w:tcPr>
          <w:p>
            <w:pPr/>
            <w:r>
              <w:rPr/>
              <w:t xml:space="preserve">Название юридического лица или частного предпринимателя</w:t>
            </w:r>
          </w:p>
        </w:tc>
        <w:tc>
          <w:tcPr>
            <w:tcW w:w="2205" w:type="dxa"/>
            <w:noWrap/>
          </w:tcPr>
          <w:p>
            <w:pPr/>
            <w:r>
              <w:rPr/>
              <w:t xml:space="preserve">Место нахождения (адрес регистрации и деятельности юридического лица, адрес проживания и регистрации индивидуального предпринимателя)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Вид (виды) экономической деятельности</w:t>
            </w:r>
          </w:p>
        </w:tc>
        <w:tc>
          <w:tcPr>
            <w:tcW w:w="2130" w:type="dxa"/>
            <w:noWrap/>
          </w:tcPr>
          <w:p>
            <w:pPr/>
            <w:r>
              <w:rPr/>
              <w:t xml:space="preserve">ИНН юридического лица или индивидуального предпринимателя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80" w:type="dxa"/>
            <w:noWrap/>
          </w:tcPr>
          <w:p>
            <w:pPr/>
            <w:r>
              <w:rPr/>
              <w:t xml:space="preserve">Фамилия и имя руководителя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Контактные данные (телефон, эл.почта)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Дата становления на учет (день, месяц год)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Дата снятия с учета (день, месяц год)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213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220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213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68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9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4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8978D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328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FF1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2F75C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1BED2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D86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A3178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654109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74DF05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967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8CFD1F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5EE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1D3856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9BAE7DD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2026-04-03T14:19:41+04:00</dcterms:created>
  <dcterms:modified xsi:type="dcterms:W3CDTF">2026-04-03T14:19:41+04:00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