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ՄԱՐՏԻ 26-Ի N 385-Ն ՈՐՈՇՄԱՆ ՄԵՋ ՓՈՓՈԽՈՒԹՅՈՒՆ ԿԱՏԱՐԵԼՈՒ ՄԱՍԻՆ ՀԱՅԱՍՏԱՆԻ ՀԱՆՐԱՊԵՏՈՒԹՅԱՆ ԿԱՌԱՎԱՐՈՒԹՅԱՆ 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2024 թվականի N_______-Ն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ՄԱՐՏԻ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6-Ի N </w:t>
      </w:r>
      <w:r>
        <w:rPr>
          <w:b w:val="1"/>
          <w:bCs w:val="1"/>
        </w:rPr>
        <w:t xml:space="preserve">385</w:t>
      </w:r>
      <w:r>
        <w:rPr>
          <w:b w:val="1"/>
          <w:bCs w:val="1"/>
        </w:rPr>
        <w:t xml:space="preserve">-Ն ՈՐՈՇՄԱՆ ՄԵՋ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մարտի 26-ի «</w:t>
      </w:r>
      <w:r>
        <w:rPr>
          <w:b w:val="1"/>
          <w:bCs w:val="1"/>
        </w:rPr>
        <w:t xml:space="preserve">Վարորդական</w:t>
      </w:r>
      <w:r>
        <w:rPr/>
        <w:t xml:space="preserve"> </w:t>
      </w:r>
      <w:r>
        <w:rPr>
          <w:b w:val="1"/>
          <w:bCs w:val="1"/>
        </w:rPr>
        <w:t xml:space="preserve">վկայական</w:t>
      </w:r>
      <w:r>
        <w:rPr/>
        <w:t xml:space="preserve"> </w:t>
      </w:r>
      <w:r>
        <w:rPr>
          <w:b w:val="1"/>
          <w:bCs w:val="1"/>
        </w:rPr>
        <w:t xml:space="preserve">ստանալու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քննություններ</w:t>
      </w:r>
      <w:r>
        <w:rPr/>
        <w:t xml:space="preserve"> </w:t>
      </w:r>
      <w:r>
        <w:rPr>
          <w:b w:val="1"/>
          <w:bCs w:val="1"/>
        </w:rPr>
        <w:t xml:space="preserve">ընդունելու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վարորդական</w:t>
      </w:r>
      <w:r>
        <w:rPr/>
        <w:t xml:space="preserve"> </w:t>
      </w:r>
      <w:r>
        <w:rPr>
          <w:b w:val="1"/>
          <w:bCs w:val="1"/>
        </w:rPr>
        <w:t xml:space="preserve">վկայական</w:t>
      </w:r>
      <w:r>
        <w:rPr/>
        <w:t xml:space="preserve"> </w:t>
      </w:r>
      <w:r>
        <w:rPr>
          <w:b w:val="1"/>
          <w:bCs w:val="1"/>
        </w:rPr>
        <w:t xml:space="preserve">տալու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վարորդական</w:t>
      </w:r>
      <w:r>
        <w:rPr/>
        <w:t xml:space="preserve"> </w:t>
      </w:r>
      <w:r>
        <w:rPr>
          <w:b w:val="1"/>
          <w:bCs w:val="1"/>
        </w:rPr>
        <w:t xml:space="preserve">վկայական</w:t>
      </w:r>
      <w:r>
        <w:rPr/>
        <w:t xml:space="preserve"> </w:t>
      </w:r>
      <w:r>
        <w:rPr>
          <w:b w:val="1"/>
          <w:bCs w:val="1"/>
        </w:rPr>
        <w:t xml:space="preserve">ստանալու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ներկայացման</w:t>
      </w:r>
      <w:r>
        <w:rPr/>
        <w:t xml:space="preserve"> </w:t>
      </w:r>
      <w:r>
        <w:rPr>
          <w:b w:val="1"/>
          <w:bCs w:val="1"/>
        </w:rPr>
        <w:t xml:space="preserve">ենթակա</w:t>
      </w:r>
      <w:r>
        <w:rPr/>
        <w:t xml:space="preserve"> </w:t>
      </w:r>
      <w:r>
        <w:rPr>
          <w:b w:val="1"/>
          <w:bCs w:val="1"/>
        </w:rPr>
        <w:t xml:space="preserve">փաստաթղթերի</w:t>
      </w:r>
      <w:r>
        <w:rPr/>
        <w:t xml:space="preserve"> </w:t>
      </w:r>
      <w:r>
        <w:rPr>
          <w:b w:val="1"/>
          <w:bCs w:val="1"/>
        </w:rPr>
        <w:t xml:space="preserve">ցանկը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ազգային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միջազգային</w:t>
      </w:r>
      <w:r>
        <w:rPr/>
        <w:t xml:space="preserve"> </w:t>
      </w:r>
      <w:r>
        <w:rPr>
          <w:b w:val="1"/>
          <w:bCs w:val="1"/>
        </w:rPr>
        <w:t xml:space="preserve">վարորդական</w:t>
      </w:r>
      <w:r>
        <w:rPr/>
        <w:t xml:space="preserve"> </w:t>
      </w:r>
      <w:r>
        <w:rPr>
          <w:b w:val="1"/>
          <w:bCs w:val="1"/>
        </w:rPr>
        <w:t xml:space="preserve">վկայականների</w:t>
      </w:r>
      <w:r>
        <w:rPr/>
        <w:t xml:space="preserve"> </w:t>
      </w:r>
      <w:r>
        <w:rPr>
          <w:b w:val="1"/>
          <w:bCs w:val="1"/>
        </w:rPr>
        <w:t xml:space="preserve">ձ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երն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նկարագրերը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 18-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1158-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որոշումն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N 385-Ն որոշման N 1 հավելվածում կատարել հետևյալ փոփոխությունը՝</w:t>
      </w:r>
    </w:p>
    <w:p>
      <w:pPr/>
      <w:r>
        <w:rPr/>
        <w:t xml:space="preserve">1) 76-րդ կետի վերջին նախադասությունը շարադրել նոր խմբագրությամբ.՝</w:t>
      </w:r>
    </w:p>
    <w:p>
      <w:pPr/>
      <w:r>
        <w:rPr/>
        <w:t xml:space="preserve"> «Սույն կետով նախատեսված՝ ցանկի 4-րդ կետով սահմանված փաստաթղթի ներկայացման պահանջը չի տարածվում փոխադարձության հիման վրա պետական տուրքի գծով արտոնություն նախատեսող իրավական ակտի առկայության պայմաններում Հայաստանի Հանրապետությունում դիվանագիտական ներկայացուցչությունների անձնակազմի և ընտանիքների անդամների վրա (ՀՀ քաղաքացի չհանդիսացող):»: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2024թ. -----------------------Երևան</w:t>
            </w:r>
          </w:p>
        </w:tc>
        <w:tc>
          <w:tcPr>
            <w:tcW w:w="5000" w:type="pct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EF0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64182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2026-04-01T10:59:48+04:00</dcterms:created>
  <dcterms:modified xsi:type="dcterms:W3CDTF">2026-04-01T10:59:48+04:00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