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Երևան քաղաքի Սարյան և Պարոնյան փողոցների միջնամասի (Սարյան 22 հասցեում գտնվող գույքին հարակից) բնակավայրի վարչական սահմաններում գտնվող որոշ տարածքների նկատմամբ հանրության գերակա շահ ճանաչելու մասին» կառավարության որոշման նախագիծը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«......» .....................2024 թ. N –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ՊԵՏԱԿԱՆ ՍԵՓԱԿԱՆՈՒԹՅՈՒՆ ՀԱՆԴԻՍԱՑՈՂ ԵՐԵՎԱՆ ՔԱՂԱՔԻ ՍԱՐՅԱՆ ԵՎ ՊԱՐՈՆՅԱՆ ՓՈՂՈՑՆԵՐԻ ՄԻՋՆԱՄԱՍՈՒՄ (ՍԱՐՅԱՆ 22 ՀԱՍՑԵՈՒՄ ԳՏՆՎՈՂ ԳՈՒՅՔԻՆ ՀԱՐԱԿԻՑ) ԳՏՆՎՈՂ ՈՐՈՇ ՏԱՐԱԾՔՆԵՐԻ ՆԿԱՏՄԱՄԲ ՀԱՆՐՈՒԹՅԱՆ ԳԵՐԱԿԱ ՇԱՀ ՃԱՆԱՉԵԼՈՒ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Հողային օրենսգրքի 61-րդ հոդվածով, 66-րդ հոդվածի 1-ին մասի 11-րդ կետով և «Հանրության գերակա շահերի ապահովման նպատակով սեփականության օտարման մասին» Հայաստանի Հանրապետության օրենքի 4-րդ հոդվածի 2-րդ մասի զ) կետը, 5-րդ և 7-րդ հոդվածների դրույթներով`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սեպտեմբերի 7-ի N 1529-Ա որոշմամբ (այսուհետ՝ Որոշում) հավանություն ստացած՝ «Ռենշին» սահմանափակ պատասխանատվությամբ ընկերության կողմից ներկայացված՝ Համաշխարհային առևտրի կենտրոն (World Trade Center (WTC) կառուցելու քաղաքաշինական կառուցապատման ծրագիրն (այսուհետ՝ Ծրագիր) իրականացնելու նպատակով՝ սույն որոշմանը կցված N 2 հավելվածով նշված տարածքներում ներառված՝ N 1 հավելվածում նշված հողամասերի և շենք, շինությունների (այսուհետ՝ կադաստրային ծածկագրերով անշարժ գույքի միավորների) նկատմամբ ճանաչել հանրության գերակա շահ` հետևյալ հիմնավորումներով`</w:t>
      </w:r>
    </w:p>
    <w:p>
      <w:pPr>
        <w:numPr>
          <w:ilvl w:val="1"/>
          <w:numId w:val="2"/>
        </w:numPr>
      </w:pPr>
      <w:r>
        <w:rPr/>
        <w:t xml:space="preserve">Ծրագրի իրականացման շահը գերակայում է օտարվող սեփականության սեփականատերերի շահերից, քանի որ՝</w:t>
      </w:r>
    </w:p>
    <w:p>
      <w:pPr/>
      <w:r>
        <w:rPr/>
        <w:t xml:space="preserve">ա. Ծրագրի իրականացման արդյունքում կներգրավվեն նոր ներդրումներ, կստեղծվեն նոր աշխատատեղեր, կբարելավվի գործարար միջավայրն ու զբոսաշրջության մակարդակը, կվերանան Երևանի կենտրոնում առկա հին և խարխուլ, ինչպես նաև տարերայնորեն տեղակայված շինությունները՝ փոխարենը կկառուցվի քաղաքաշինական տեսակետից կարևոր նշանակություն ունեցող Համաշխարհային առևտրի կենտրոն (World Trade Center (WTC)անվամբ Ա դասի գերժամանակակից բիզնես էկոհամակարգ, ինչը բնականաբար կունենա սոցիալ-տնտեսական բարձր նշանակություն Երևանի և ամբողջ հանրապետության համար,</w:t>
      </w:r>
    </w:p>
    <w:p>
      <w:pPr/>
      <w:r>
        <w:rPr/>
        <w:t xml:space="preserve">բ. Ծրագրի իրականացումը կունենա նաև քաղաքաշինության, բնապահպանության, առողջության, սպորտի, մշակույթի զարգացման նշանակություն.</w:t>
      </w:r>
    </w:p>
    <w:p>
      <w:pPr>
        <w:numPr>
          <w:ilvl w:val="0"/>
          <w:numId w:val="3"/>
        </w:numPr>
      </w:pPr>
      <w:r>
        <w:rPr/>
        <w:t xml:space="preserve">Ծրագրի արդյունավետ իրագործումը չի կարող ապահովվել առանց սույն որոշման N 1 հավելվածում ընդգրկված կադաստրային ծածկագրերով անշարժ գույքի միավորների oտարման:</w:t>
      </w:r>
    </w:p>
    <w:p>
      <w:pPr>
        <w:numPr>
          <w:ilvl w:val="0"/>
          <w:numId w:val="4"/>
        </w:numPr>
      </w:pPr>
      <w:r>
        <w:rPr/>
        <w:t xml:space="preserve">Հաստատել՝</w:t>
      </w:r>
    </w:p>
    <w:p>
      <w:pPr>
        <w:numPr>
          <w:ilvl w:val="0"/>
          <w:numId w:val="5"/>
        </w:numPr>
      </w:pPr>
      <w:r>
        <w:rPr/>
        <w:t xml:space="preserve">Երևան քաղաքի Սարյան և Պարոնյան փողոցների միջնամասում (Սարյան 22 հասցեում գտնվող գույքին հարակից) գտնվող այն հողամասերի և շենք, շինությունների (կադաստրային ծածկագրերով անշարժ գույքի միավորների) ցանկը և սխեման, որոնց նկատմամբ ճանաչվել է հանրության գերակա շահ՝ համաձայն NN 1 և 2 հավելվածների։</w:t>
      </w:r>
    </w:p>
    <w:p>
      <w:pPr>
        <w:numPr>
          <w:ilvl w:val="0"/>
          <w:numId w:val="6"/>
        </w:numPr>
      </w:pPr>
      <w:r>
        <w:rPr/>
        <w:t xml:space="preserve">Սահմանել, որ`</w:t>
      </w:r>
    </w:p>
    <w:p>
      <w:pPr>
        <w:numPr>
          <w:ilvl w:val="0"/>
          <w:numId w:val="7"/>
        </w:numPr>
      </w:pPr>
      <w:r>
        <w:rPr/>
        <w:t xml:space="preserve">սույն որոշման 2-րդ կետով հաստատված հավելվածներում նշված կադաստրային ծածկագրերով անշարժ գույքի միավորների ձեռք բերող է հանդիuանում Հայաստանի Հանրապետության, «Ռենշին» սահմանափակ պատասխանատվությամբ ընկերության (այսուհետ՝ Ընկերություն) և «Հայփոստ» փակ բաժնետիրական ընկերության հետ համատեղ հիմնադրվող «Համաշխարհային առևտրի կենտրոն Երևան» փակ բաժնետիրական ընկերությունը.</w:t>
      </w:r>
    </w:p>
    <w:p>
      <w:pPr>
        <w:numPr>
          <w:ilvl w:val="0"/>
          <w:numId w:val="7"/>
        </w:numPr>
      </w:pPr>
      <w:r>
        <w:rPr/>
        <w:t xml:space="preserve">նախատեսված օտարման գործառույթների իրականացումը համակարգող է հանդիսանում Հայաստանի Հանրապետության էկոնոմիկայի նախարարությունը․</w:t>
      </w:r>
    </w:p>
    <w:p>
      <w:pPr>
        <w:numPr>
          <w:ilvl w:val="0"/>
          <w:numId w:val="7"/>
        </w:numPr>
      </w:pPr>
      <w:r>
        <w:rPr/>
        <w:t xml:space="preserve">սեփականության օտարման գործընթացն սկսելու վերջնական ժամկետը 12 ամիս է՝ սկսած սույն որոշման ուժի մեջ մտնելու օրվանից.</w:t>
      </w:r>
    </w:p>
    <w:p>
      <w:pPr>
        <w:numPr>
          <w:ilvl w:val="0"/>
          <w:numId w:val="7"/>
        </w:numPr>
      </w:pPr>
      <w:r>
        <w:rPr/>
        <w:t xml:space="preserve">սույն որոշմամբ հանրության գերակա շահ ճանաչված անշարժ գույքի միավորների և դրանցում առկա սեփականության օբյեկտների նկարագրության արձանագրության կազմման գործառույթներն իրականացնում է սույն որոշման 3-րդ կետի 2-րդ ենթակետով նախատեսված՝ օտարման գործառույթների իրականացումը համակարգող ճանաչված՝ Հայաստանի Հանրապետության էկոնոմիկայի նախարարությունը.</w:t>
      </w:r>
    </w:p>
    <w:p>
      <w:pPr>
        <w:numPr>
          <w:ilvl w:val="0"/>
          <w:numId w:val="7"/>
        </w:numPr>
      </w:pPr>
      <w:r>
        <w:rPr/>
        <w:t xml:space="preserve">սույն որոշմամբ հանրության գերակա շահ ճանաչված անշարժ գույքի միավորների և դրանցում առկա սեփականության օբյեկտների նկարագրության արձանագրության կազմման աշխատանքներն իրականացվում են Հայաստանի Հանրապետության կառավարության 2007 թվականի հունվարի 25-ի N 108-Ն որոշմամբ սահմանված կարգով, սույն որոշումն ուժի մեջ մտնելուն հաջորդող 4 (չորս) ամսվա ընթացքում ՝ նկարագրության արձանագրության օրինակելի ձևով:</w:t>
      </w:r>
    </w:p>
    <w:p>
      <w:pPr>
        <w:numPr>
          <w:ilvl w:val="0"/>
          <w:numId w:val="7"/>
        </w:numPr>
      </w:pPr>
      <w:r>
        <w:rPr/>
        <w:t xml:space="preserve">օտարվող սեփականություն ձեռք բերողի իրավունքները, պարտականություններն ու պատասխանատվությունը սահմանվում են «Հանրության գերակա շահերի ապահովման նպատակով uեփականության oտարման մաuին» օրենքի հիման վրա կադաստրային ծածկագրերով անշարժ գույքի միավորների ձեռք բերողի և լիազոր մարմնի՝ Հայաստանի Հանրապետության էկոնոմիկայի նախարարության միջև կնքված պայմանագրին համապատասխան:</w:t>
      </w:r>
    </w:p>
    <w:p>
      <w:pPr>
        <w:numPr>
          <w:ilvl w:val="0"/>
          <w:numId w:val="7"/>
        </w:numPr>
      </w:pPr>
      <w:r>
        <w:rPr/>
        <w:t xml:space="preserve">սույն որոշման NN 1 և 2 հավելվածներում նշված կադաստրային ծածկագրերով անշարժ գույքի միավորները կարող են օգտագործվել բացառապես Որոշմամբ հավանություն ստացած Ծրագրով նախատեսված գործողություններն իրականացնելու նպատակով:</w:t>
      </w:r>
    </w:p>
    <w:p>
      <w:pPr>
        <w:numPr>
          <w:ilvl w:val="0"/>
          <w:numId w:val="7"/>
        </w:numPr>
      </w:pPr>
      <w:r>
        <w:rPr/>
        <w:t xml:space="preserve">պայմանագրի նոտարական վավերացման և դրանից բխող գույքային իրավունքների պետական գրանցման հետ կապված վճարներն ու տուրքերը պետք է վճարվեն Ընկերության միջոցների հաշվին։</w:t>
      </w:r>
    </w:p>
    <w:p>
      <w:pPr>
        <w:numPr>
          <w:ilvl w:val="0"/>
          <w:numId w:val="8"/>
        </w:numPr>
      </w:pPr>
      <w:r>
        <w:rPr/>
        <w:t xml:space="preserve">Ընդունել ի գիտություն, որ․</w:t>
      </w:r>
    </w:p>
    <w:p>
      <w:pPr>
        <w:numPr>
          <w:ilvl w:val="0"/>
          <w:numId w:val="9"/>
        </w:numPr>
      </w:pPr>
      <w:r>
        <w:rPr/>
        <w:t xml:space="preserve">օտարվող սեփականություն ձեռք բերողն ստանձնել է պայմանագրային պարտավորություն` պետությանը զերծ պահելու ցանկացած վնասից և պատասխանատվությունից, որոնք կարող են առաջանալ սեփականության օտարման արդյունքում կամ հետևանքով` կապված սեփականության դիմաց փոխհատուցման անհամարժեքության, ինչպես նաև քաղաքաշինական ծրագրի իրականացման հետ</w:t>
      </w:r>
    </w:p>
    <w:p>
      <w:pPr>
        <w:numPr>
          <w:ilvl w:val="0"/>
          <w:numId w:val="9"/>
        </w:numPr>
      </w:pPr>
      <w:r>
        <w:rPr/>
        <w:t xml:space="preserve">սույն որոշման N 2 հավելվածի սխեմայի սահմաններում առկա պետական և համայնքային սեփականություն հանդիսացող հողամասերը ենթակա են օտարման տվյալ պահին գործող շուկայական արժեքին մոտարկված կադաստրային արժեքով։</w:t>
      </w:r>
    </w:p>
    <w:p>
      <w:pPr>
        <w:numPr>
          <w:ilvl w:val="0"/>
          <w:numId w:val="10"/>
        </w:numPr>
      </w:pPr>
      <w:r>
        <w:rPr/>
        <w:t xml:space="preserve">Տալ համաձայնություն պետական սեփականություն հանդիսացող հողամասերի օտարմանը։</w:t>
      </w:r>
    </w:p>
    <w:p>
      <w:pPr>
        <w:numPr>
          <w:ilvl w:val="0"/>
          <w:numId w:val="10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683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7E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101B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2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0E8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74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C01C7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3D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DF7A1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2026-04-01T23:27:34+04:00</dcterms:created>
  <dcterms:modified xsi:type="dcterms:W3CDTF">2026-04-01T23:27:34+04:00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