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«Ճանապարհային երթևեկության անվտանգության ապահովման մասին» օրենքում լրացումներ կատարելու մասին» և «Վարչական իրավախախտումների վերաբերյալ Հայաստանի Հանրապետության օրենսգրքում փոփոխություն և լրացումներ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Ա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Խ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Ա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Գ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Ի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Ծ</w:t>
      </w:r>
    </w:p>
    <w:p>
      <w:pPr>
        <w:pStyle w:val="Heading2"/>
      </w:pPr>
      <w:r>
        <w:rPr>
          <w:b w:val="1"/>
          <w:bCs w:val="1"/>
        </w:rPr>
        <w:t xml:space="preserve"> </w:t>
      </w:r>
    </w:p>
    <w:p>
      <w:pPr>
        <w:pStyle w:val="Heading2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ՕՐԵՆՔԸ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«ՃԱՆԱՊԱՐՀԱՅԻՆ ԵՐԹԵՎԵԿՈՒԹՅԱՆ ԱՆՎՏԱՆԳՈՒԹՅԱՆ ԱՊԱՀՈՎՄԱՆ ՄԱՍԻՆ» ՕՐԵՆՔՈՒՄ ԼՐԱՑՈՒՄՆԵՐ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«Ճանապարհային երթևեկության անվտանգության ապահովման մասին» 2005 թվականի հուլիսի 8-ի ՀՕ-166-Ն օրենքի (այսուհետ` Օրենք) 2-րդ հոդվածը լրացնել հետևյալ բովանդակությամբ նոր հասկացությամբ.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անհատական </w:t>
      </w:r>
      <w:r>
        <w:rPr>
          <w:b w:val="1"/>
          <w:bCs w:val="1"/>
        </w:rPr>
        <w:t xml:space="preserve">​​</w:t>
      </w:r>
      <w:r>
        <w:rPr>
          <w:b w:val="1"/>
          <w:bCs w:val="1"/>
        </w:rPr>
        <w:t xml:space="preserve">շարժունակության (տեղաշարժման)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միջոց</w:t>
      </w:r>
      <w:r>
        <w:rPr/>
        <w:t xml:space="preserve">՝ մեկ կամ մի քանի անիվ (գլանափողեր) ունեցող, տրանսպորտային միջոց չհանդիսացող սարք, որը նախատեսված է էլեկտրական շարժիչի (որի առավելագույն հզորությունը երկարատև ծանրաբեռնվածության ռեժիմում չպետք է գերազանցի 0.25 կՎտ) և (կամ) մարդու մկանային էներգիայի ներազդման միջոցով մարդու տեղաշարժման համար (անվաչմուշկներ, սկուտերներ, էլեկտրական սկուտերներ, սքեյթբորդներ, էլեկտրական սքեյթբորդներ, ինքնակառավարվող սկուտերներ, հիրոսքութերներ, սեգվեյներ, միանիվներ և այլն, բացառությամբ հեծանիվների և հաշմանդամային uայլակների).»: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Օրենքը լրացնել հետևյալ բովանդակությամբ 24.4-րդ հոդվածով.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24.4. Ա</w:t>
      </w:r>
      <w:r>
        <w:rPr>
          <w:b w:val="1"/>
          <w:bCs w:val="1"/>
        </w:rPr>
        <w:t xml:space="preserve">նհատական </w:t>
      </w:r>
      <w:r>
        <w:rPr>
          <w:b w:val="1"/>
          <w:bCs w:val="1"/>
        </w:rPr>
        <w:t xml:space="preserve">​​</w:t>
      </w:r>
      <w:r>
        <w:rPr>
          <w:b w:val="1"/>
          <w:bCs w:val="1"/>
        </w:rPr>
        <w:t xml:space="preserve">շարժունակության (տեղաշարժման)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միջոցների</w:t>
      </w:r>
      <w:r>
        <w:rPr>
          <w:b w:val="1"/>
          <w:bCs w:val="1"/>
        </w:rPr>
        <w:t xml:space="preserve"> երթևեկության լրացուցիչ պահանջները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14 տարեկանից բարձր տարիք ունեցող անձանց կողմից անհատական ​​շարժունակության (տեղաշարժման)միջոցներով երթևեկությունը թույլատրվում է՝</w:t>
      </w:r>
    </w:p>
    <w:p>
      <w:pPr>
        <w:jc w:val="both"/>
      </w:pPr>
      <w:r>
        <w:rPr/>
        <w:t xml:space="preserve">1) հեծանվային կամ հեծանվահետիոտնային արահետներով կամ հեծանվորդների համար գոտիով.</w:t>
      </w:r>
    </w:p>
    <w:p>
      <w:pPr>
        <w:jc w:val="both"/>
      </w:pPr>
      <w:r>
        <w:rPr/>
        <w:t xml:space="preserve">2) մայթով կամ հետիոտնային արահետով հետևյալ դեպքերում.</w:t>
      </w:r>
    </w:p>
    <w:p>
      <w:pPr>
        <w:jc w:val="both"/>
      </w:pPr>
      <w:r>
        <w:rPr/>
        <w:t xml:space="preserve">ա. բացակայում են հեծանվային և հեծանվահետիոտնային արահետները, հեծանվորդների համար գոտին, կամ դրանցով երթևեկելն անհնար է,</w:t>
      </w:r>
    </w:p>
    <w:p>
      <w:pPr>
        <w:jc w:val="both"/>
      </w:pPr>
      <w:r>
        <w:rPr/>
        <w:t xml:space="preserve">բ. անհատական շարժունակության (տեղաշարժման) միջոցից օգտվողն ուղեկցում է մինչև 14 տարեկան երեխայի.</w:t>
      </w:r>
    </w:p>
    <w:p>
      <w:pPr>
        <w:jc w:val="both"/>
      </w:pPr>
      <w:r>
        <w:rPr/>
        <w:t xml:space="preserve">3) կողնակով, եթե բացակայում են հեծանվային և հեծանվահետիոտնային արահետները, հեծանվորդների համար գոտին, մայթը կամ հետիոտնային արահետը կամ դրանցով երթևեկելն անհնար է.</w:t>
      </w:r>
    </w:p>
    <w:p>
      <w:pPr>
        <w:jc w:val="both"/>
      </w:pPr>
      <w:r>
        <w:rPr/>
        <w:t xml:space="preserve">4) երթևեկելի մասի աջ եզրով հետևյալ դեպքերում.</w:t>
      </w:r>
    </w:p>
    <w:p>
      <w:pPr>
        <w:jc w:val="both"/>
      </w:pPr>
      <w:r>
        <w:rPr/>
        <w:t xml:space="preserve">ա. բացակայում են հեծանվային և հեծանվահետիոտնային արահետները, հեծանվորդների համար գոտին, մայթը, հետիոտնային արահետը կամ կողնակը կամ դրանցով երթևեկելն անհնար է,</w:t>
      </w:r>
    </w:p>
    <w:p>
      <w:pPr>
        <w:jc w:val="both"/>
      </w:pPr>
      <w:r>
        <w:rPr/>
        <w:t xml:space="preserve">բ. անհատական շարժունակության (տեղաշարժման) միջոցը հագեցած է էլեկտրական շարժիչով (շարժիչներով), արգելակով, ձայնային ազդանշանով, առջևում՝ սպիտակ, կողքերից՝ նարնջագույն կամ կարմիր, իսկ հետևում՝ կարմիր գույնի լուսանդրադարձիչներով, առջևում՝ սպիտակ լուսարձակով (լապտեր), որը պետք է միացված լինի օրվա մութ ժամանակ կամ անբավարար տեսանելիության պայմաններում։</w:t>
      </w:r>
    </w:p>
    <w:p>
      <w:pPr>
        <w:numPr>
          <w:ilvl w:val="0"/>
          <w:numId w:val="3"/>
        </w:numPr>
      </w:pPr>
      <w:r>
        <w:rPr/>
        <w:t xml:space="preserve">Երթևեկելի մասում անհատական ​​շարժունակության (տեղաշարժման)միջոցների երթևեկությունը թույլատրվում է մեկ շարքով։</w:t>
      </w:r>
    </w:p>
    <w:p>
      <w:pPr>
        <w:numPr>
          <w:ilvl w:val="0"/>
          <w:numId w:val="3"/>
        </w:numPr>
      </w:pPr>
      <w:r>
        <w:rPr/>
        <w:t xml:space="preserve">7-ից մինչև 14 տարեկան անձանց կողմից անհատական ​​շարժունակության (տեղաշարժման)միջոցներով երթևեկությունը թույլատրվում է միայն մայթերով և հետիոտնային արահետներով, իսկ դրանց բացակայութայն կամ դրանցով երթևեկության անհնարինության դեպքում՝ հեծանվային և հեծանվահետիոտնային արահետներով:</w:t>
      </w:r>
    </w:p>
    <w:p>
      <w:pPr>
        <w:numPr>
          <w:ilvl w:val="0"/>
          <w:numId w:val="3"/>
        </w:numPr>
      </w:pPr>
      <w:r>
        <w:rPr/>
        <w:t xml:space="preserve">Մինչև 7 տարեկան անձանց կողմից անհատական ​​շարժունակության (տեղաշարժման)միջոցներով երթևեկությունը թույլատրվում է միայն մայթերով և հետիոտնային արահետներով:</w:t>
      </w:r>
    </w:p>
    <w:p>
      <w:pPr>
        <w:numPr>
          <w:ilvl w:val="0"/>
          <w:numId w:val="3"/>
        </w:numPr>
      </w:pPr>
      <w:r>
        <w:rPr/>
        <w:t xml:space="preserve">Անհատական շարժունակության (տեղաշարժման)միջոցի արագությունը չպետք է գերազանցի 20 կմ/ժ-ը, իսկ հետիոտների հետ համատեղ երթևեկության ժամանակ՝ 10 կմ/ժ-ը։</w:t>
      </w:r>
    </w:p>
    <w:p>
      <w:pPr>
        <w:numPr>
          <w:ilvl w:val="0"/>
          <w:numId w:val="3"/>
        </w:numPr>
      </w:pPr>
      <w:r>
        <w:rPr/>
        <w:t xml:space="preserve">Հետիոտների և անհատական շարժունակության (տեղաշարժման)միջոցների համատեղ երթևեկության ժամանակ հետիոտները բոլոր դեպքերում ունեն առավելություն։</w:t>
      </w:r>
    </w:p>
    <w:p>
      <w:pPr>
        <w:numPr>
          <w:ilvl w:val="0"/>
          <w:numId w:val="3"/>
        </w:numPr>
      </w:pPr>
      <w:r>
        <w:rPr/>
        <w:t xml:space="preserve">Եթե մայթով, հետիոտնային արահետով կամ երթևեկելի մասի եզրով շարժվելու համար անհատական շարժունակության (տեղաշարժման)միջոցներօգտագործող անձի շարժումը վտանգում կամ խանգարում է հետիոտների շարժին, ապա անհատական ​​ շարժունակության (տեղաշարժման) միջոց օգտագործող անձը պարտավոր է դադարեցնել դրա օգտագործումը կամ իջեցնել արագությունը և այն օգտագործել հետիոտների երթևեկության արագությունը չգերազանցող արագությամբ։</w:t>
      </w:r>
    </w:p>
    <w:p>
      <w:pPr>
        <w:numPr>
          <w:ilvl w:val="0"/>
          <w:numId w:val="3"/>
        </w:numPr>
      </w:pPr>
      <w:r>
        <w:rPr/>
        <w:t xml:space="preserve">Արգելվում է՝</w:t>
      </w:r>
    </w:p>
    <w:p>
      <w:pPr>
        <w:jc w:val="both"/>
      </w:pPr>
      <w:r>
        <w:rPr/>
        <w:t xml:space="preserve">ա) անհատական ​​ շարժունակության (տեղաշարժման) միջոցով տեղափոխել ուղևոր և (կամ)  բեռ (բացառությամբ անհատական շարժունակության (տեղաշարժման) միջոցն օգտագործողի կողմից առանց ձեռքերի օգտագործման պահվող (մեկ ամբողջություն հանդիսացող) ուղեբեռի),</w:t>
      </w:r>
    </w:p>
    <w:p>
      <w:pPr>
        <w:jc w:val="both"/>
      </w:pPr>
      <w:r>
        <w:rPr/>
        <w:t xml:space="preserve">բ) մեկ սռնու (առանցքի) վրա գտնվող անհատական ​​ շարժունակության (տեղաշարժման) միջոցների օգտագործումը երթևեկելի մասի վրա և հեծանվորդների համար գոտիով,</w:t>
      </w:r>
    </w:p>
    <w:p>
      <w:pPr>
        <w:jc w:val="both"/>
      </w:pPr>
      <w:r>
        <w:rPr/>
        <w:t xml:space="preserve">գ) էլեկտրական շարժիչ (շարժիչներ) ունեցող անհատական շարժունակության (տեղաշարժման) միջոցի օգտագործումը 14 տարին չլրացած անձանց կողմից,</w:t>
      </w:r>
    </w:p>
    <w:p>
      <w:pPr>
        <w:jc w:val="both"/>
      </w:pPr>
      <w:r>
        <w:rPr/>
        <w:t xml:space="preserve">դ) ղեկ ունեցող անհատական շարժունակության (տեղաշարժման) միջոցը օգտագործել առանց ղեկը բռնելու,</w:t>
      </w:r>
    </w:p>
    <w:p>
      <w:pPr>
        <w:jc w:val="both"/>
      </w:pPr>
      <w:r>
        <w:rPr/>
        <w:t xml:space="preserve">ե) անհատական շարժունակության (տեղաշարժման) միջոցն օգտագործելով հատել ճանապարհը հետիոտնային անցումներով (բացառությամբ անմիջականորեն մարմնին կրվող միջոցներով հետիոտնի արագությունը չգերազանցող արագությամբ հատելու դեպքերի),</w:t>
      </w:r>
    </w:p>
    <w:p>
      <w:pPr>
        <w:jc w:val="both"/>
      </w:pPr>
      <w:r>
        <w:rPr/>
        <w:t xml:space="preserve">զ) անհատական շարժունակության (տեղաշարժման) միջոցների օգտագործումը բնակավայրից դուրս ճանապարհներին։»։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3. </w:t>
      </w:r>
      <w:r>
        <w:rPr/>
        <w:t xml:space="preserve">Սույն օրենքն ուժի մեջ է մտնում պաշտոնական հրապարակման օրվան հաջորդող տասներորդ օրը:</w:t>
      </w:r>
    </w:p>
    <w:tbl>
      <w:tblGrid>
        <w:gridCol w:w="4500" w:type="dxa"/>
        <w:gridCol/>
      </w:tblGrid>
      <w:tblPr>
        <w:tblW w:w="0" w:type="auto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Վ</w:t>
            </w:r>
            <w:r>
              <w:rPr>
                <w:b w:val="1"/>
                <w:bCs w:val="1"/>
              </w:rPr>
              <w:t xml:space="preserve">.</w:t>
            </w:r>
            <w:r>
              <w:rPr>
                <w:b w:val="1"/>
                <w:bCs w:val="1"/>
              </w:rPr>
              <w:t xml:space="preserve">Խաչատուրյան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Ա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Խ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Ա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Գ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Ի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 ԵՎ ԼՐԱՑՈՒՄՆԵՐ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1.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Վարչական իրավախախտումների վերաբերյալ Հայաստանի Հանրապետության 1985 թվականի դեկտեմբերի 6-ի օրենսգրքի (այսուհետ՝ Օրենսգիրք) 13-րդ հոդվածի 2-րդ պարբերության 1-ին նախանադասությունում «123-131» թվերը փոխարինել «123 131.1» թվերով։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2.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Օրենսգրքի 10-րդ գլուխը լրացնել նոր 131.1 ին հոդվածով հետևյալ խմբագրությամբ.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131.1. Ա</w:t>
      </w:r>
      <w:r>
        <w:rPr>
          <w:b w:val="1"/>
          <w:bCs w:val="1"/>
        </w:rPr>
        <w:t xml:space="preserve">նհատական </w:t>
      </w:r>
      <w:r>
        <w:rPr>
          <w:b w:val="1"/>
          <w:bCs w:val="1"/>
        </w:rPr>
        <w:t xml:space="preserve">​​</w:t>
      </w:r>
      <w:r>
        <w:rPr>
          <w:b w:val="1"/>
          <w:bCs w:val="1"/>
        </w:rPr>
        <w:t xml:space="preserve">շարժունակության (տեղաշարժման)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միջոցների երթևեկության </w:t>
      </w:r>
      <w:r>
        <w:rPr>
          <w:b w:val="1"/>
          <w:bCs w:val="1"/>
        </w:rPr>
        <w:t xml:space="preserve">կանոնները խախտելը</w:t>
      </w:r>
    </w:p>
    <w:p>
      <w:pPr>
        <w:numPr>
          <w:ilvl w:val="0"/>
          <w:numId w:val="4"/>
        </w:numPr>
      </w:pPr>
      <w:r>
        <w:rPr/>
        <w:t xml:space="preserve">Անհատական ​​շարժունակության (տեղաշարժման)միջոցների երթևեկության  կանոնները (օգտագործման լրացուցիչ պահանջները) խախտելը՝</w:t>
      </w:r>
    </w:p>
    <w:p>
      <w:pPr>
        <w:jc w:val="both"/>
      </w:pPr>
      <w:r>
        <w:rPr/>
        <w:t xml:space="preserve">առաջացնում է տուգանքի նշանակում` սահմանված նվազագույն աշխատավարձի հնգապատիկի չափով:»։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2.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Օրենսգրքի 224-րդ հոդվածի 1-ին, 287-րդ հոդվածի 2-րդ, 302-րդ հոդվածի 1 ին, 305-րդ հոդվածի 2-րդ և 307-րդ հոդվածի 3-րդ մասերում «131» թվից հետո համապատասխան գրելաձևով լրացնել «131.1» թիվը։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4.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Սույն օրենքն ուժի մեջ է մտնում պաշտոնական հրապարակման օրվան հաջորդող տասներորդ օրը:</w:t>
      </w:r>
    </w:p>
    <w:p>
      <w:pPr>
        <w:jc w:val="both"/>
      </w:pPr>
      <w:r>
        <w:rPr/>
        <w:t xml:space="preserve"> </w:t>
      </w:r>
    </w:p>
    <w:tbl>
      <w:tblGrid>
        <w:gridCol w:w="4500" w:type="dxa"/>
        <w:gridCol/>
      </w:tblGrid>
      <w:tblPr>
        <w:tblW w:w="0" w:type="auto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Վ</w:t>
            </w:r>
            <w:r>
              <w:rPr>
                <w:b w:val="1"/>
                <w:bCs w:val="1"/>
              </w:rPr>
              <w:t xml:space="preserve">.</w:t>
            </w:r>
            <w:r>
              <w:rPr>
                <w:b w:val="1"/>
                <w:bCs w:val="1"/>
              </w:rPr>
              <w:t xml:space="preserve">Խաչատուրյան</w:t>
            </w:r>
          </w:p>
        </w:tc>
      </w:tr>
    </w:tbl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B49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E4667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D0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2026-04-03T19:09:42+04:00</dcterms:created>
  <dcterms:modified xsi:type="dcterms:W3CDTF">2026-04-03T19:09:42+04:00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