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««ԱՎՏՈՏՐԱՆՍՊՈՐՏԱՅԻՆ ՄԻՋՈՑՆԵՐԻ ԿԱՅԱՆԱՏԵՂԵՐԻ ՏԵՂԱԿԱՆ ՎՃԱՐԻ ԵՎ ՎԱՐՉԱԿԱՆ ՎԱՐՈՒՅԹԻ ԱՌԱՆՁՆԱՀԱՏԿՈՒԹՅՈՒՆՆԵՐԻ ՄԱՍԻՆ» ՕՐԵՆՔՈՒՄ ՓՈՓՈԽՈՒԹՅՈՒՆ ԿԱՏԱՐԵԼՈՒ ՄԱՍԻՆ» ՕՐԵՆՔԻ ՆԱԽԱԳԻԾ</w:t>
      </w:r>
      <w:bookmarkEnd w:id="0"/>
    </w:p>
    <w:p>
      <w:pPr/>
      <w:r>
        <w:rPr>
          <w:b w:val="1"/>
          <w:bCs w:val="1"/>
        </w:rPr>
        <w:t xml:space="preserve">Հ Ա Յ Ա Ս Տ Ա Ն Ի  Հ Ա Ն Ր Ա Պ Ե Տ ՈՒ Թ Յ Ա 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«ԱՎՏՈՏՐԱՆՍՊՈՐՏԱՅԻՆ ՄԻՋՈՑՆԵՐԻ ԿԱՅԱՆԱՏԵՂԵՐԻ ՏԵՂԱԿԱՆ ՎՃԱՐԻ ԵՎ ՎԱՐՉԱԿԱՆ ՎԱՐՈՒՅԹԻ ԱՌԱՆՁՆԱՀԱՏԿՈՒԹՅՈՒՆՆԵՐԻ ՄԱՍԻՆ» ՕՐԵՆՔՈՒՄ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    </w:t>
      </w:r>
      <w:r>
        <w:rPr/>
        <w:t xml:space="preserve">«Ավտոտրանսպորտային միջոցների կայանատեղերի տեղական վճարի և վարչական վարույթի առանձնահատկությունների մասին» 2011 թվականի հունիսի 23-ի ՀՕ-221-Ն օրենքի 8-րդ հոդվածի 2-րդ մասը շարադրել հետևյալ խմբագրությամբ.</w:t>
      </w:r>
    </w:p>
    <w:p>
      <w:pPr/>
      <w:r>
        <w:rPr/>
        <w:t xml:space="preserve">«2. Այն ավտոկայանատեղը, որի համար նախատեսվում է վճարի գանձում, պետք է առանձնացված լինի Հայաստանի Հանրապետության կառավարության կողմից սահմանված գույնին և ձևին համապատասխան գետնանշումով:»:</w:t>
      </w:r>
    </w:p>
    <w:p>
      <w:pPr/>
      <w:r>
        <w:rPr>
          <w:b w:val="1"/>
          <w:bCs w:val="1"/>
        </w:rPr>
        <w:t xml:space="preserve">Հոդված 2.   </w:t>
      </w:r>
      <w:r>
        <w:rPr/>
        <w:t xml:space="preserve">Սույն օրենքն ուժի մեջ է մտնում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2026-04-03T22:34:06+04:00</dcterms:created>
  <dcterms:modified xsi:type="dcterms:W3CDTF">2026-04-03T22:34:06+04:00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