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«Գործազուրկների զբաղվածության ապահովման միջոցառումը հաստատելու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--------- ---------------- 2022  թվականի  N    - Լ </w:t>
      </w:r>
    </w:p>
    <w:p>
      <w:pPr>
        <w:jc w:val="center"/>
      </w:pPr>
      <w:r>
        <w:rPr>
          <w:b w:val="1"/>
          <w:bCs w:val="1"/>
        </w:rPr>
        <w:t xml:space="preserve">ԳՈՐԾԱԶՈՒՐԿՆԵՐԻ</w:t>
      </w:r>
      <w:r>
        <w:rPr/>
        <w:t xml:space="preserve"> </w:t>
      </w:r>
      <w:r>
        <w:rPr>
          <w:b w:val="1"/>
          <w:bCs w:val="1"/>
        </w:rPr>
        <w:t xml:space="preserve">ԶԲԱՂՎԱԾՈՒԹՅԱՆ ԱՊԱՀՈՎՄԱՆ </w:t>
      </w:r>
      <w:r>
        <w:rPr>
          <w:b w:val="1"/>
          <w:bCs w:val="1"/>
        </w:rPr>
        <w:t xml:space="preserve">ՄԻՋՈՑԱՌՈՒՄԸ ՀԱՍՏԱՏԵԼՈՒ ՄԱՍԻՆ</w:t>
      </w:r>
      <w:r>
        <w:rPr/>
        <w:t xml:space="preserve"> </w:t>
      </w:r>
    </w:p>
    <w:p>
      <w:pPr/>
      <w:r>
        <w:rPr/>
        <w:t xml:space="preserve"> Հիմք ընդունելով «Զբաղվածության մասին» Հայաստանի Հանրապետության օրենքի 21-րդ հոդվածի 2-րդ մասի 5-րդ կետը՝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գործազուրկների զբաղվածության ապահովման միջոցառումը՝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աշխատանքի և սոցիալական հարցերի նախարարին՝</w:t>
      </w:r>
    </w:p>
    <w:p>
      <w:pPr>
        <w:numPr>
          <w:ilvl w:val="0"/>
          <w:numId w:val="3"/>
        </w:numPr>
      </w:pPr>
      <w:r>
        <w:rPr/>
        <w:t xml:space="preserve">սույն որոշումն ուժի մեջ մտնելուց հետո 20 աշխատանքային օրվա ընթացքում Հայաստանի Հանրապետության վարչապետի աշխատակազմ ներկայացնել Հայաստանի Հանրապետության կառավարության 2021 թվականի դեկտեմբերի 23-ի N 2121-Ն որոշման մեջ սույն որոշումից բխող փոփոխություններ կատարելու վերաբերյալ առաջարկություններ․</w:t>
      </w:r>
    </w:p>
    <w:p>
      <w:pPr>
        <w:numPr>
          <w:ilvl w:val="0"/>
          <w:numId w:val="3"/>
        </w:numPr>
      </w:pPr>
      <w:r>
        <w:rPr/>
        <w:t xml:space="preserve">մինչև 2023 թվականի փետրվարի 15-ն իրականացնել 2022 թվականին միջոցառման իրականացման ընթացիկ գնահատում: Գնահատման արդյունքում միջոցառման միջոցով զբաղված դարձած անձանց տեսակարար կշիռը շահառուների նախատեսված թվում 70 տոկոսից բարձր լինելու պարագայում միջոցառման իրականացման նպատակով ֆինանսական միջոցներ նախատեսել Հայաստանի Հանրապետության 2023 թվականի պետական բյուջեում․</w:t>
      </w:r>
    </w:p>
    <w:p>
      <w:pPr>
        <w:numPr>
          <w:ilvl w:val="0"/>
          <w:numId w:val="3"/>
        </w:numPr>
      </w:pPr>
      <w:r>
        <w:rPr/>
        <w:t xml:space="preserve">2024 թվականի դեկտեմբերի 3-րդ տասնօրյակում իրականացնել 2022 թվականին միջոցառման իրականացման վերջնական գնահատում: Կայուն զբաղվածության չափանիշը 50 տոկոսից բարձր լինելու դեպքում միջոցառումը դարձնել զբաղվածության պետական ծրագիր։</w:t>
      </w:r>
    </w:p>
    <w:p>
      <w:pPr>
        <w:jc w:val="end"/>
      </w:pPr>
      <w:r>
        <w:rPr/>
        <w:t xml:space="preserve"> Հավելված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«           » «   » -ի N     -Լ որոշման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ԳՈՐԾԱԶՈՒՐԿՆԵՐԻ </w:t>
      </w:r>
      <w:r>
        <w:rPr>
          <w:b w:val="1"/>
          <w:bCs w:val="1"/>
        </w:rPr>
        <w:t xml:space="preserve">ԶԲԱՂՎԱԾՈՒԹՅԱՆ ԱՊԱՀՈՎՄԱՆ</w:t>
      </w:r>
      <w:r>
        <w:rPr>
          <w:b w:val="1"/>
          <w:bCs w:val="1"/>
        </w:rPr>
        <w:t xml:space="preserve"> ՄԻՋՈՑԱՌՈՒՄ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ՄԻՋՈՑԱՌՄԱՆ ՆԿԱՐԱԳԻՐԸ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Միջոցառման նպատակն է մեծացնել գործազուրկի, այդ թվում՝ ընտանեկան կամ սոցիալական նպաստ ստացող ընտանիքի գործազուրկ անդամի (այսուհետ՝ նպաստառու գործազուրկ) աշխատանքի տեղավորման հնարավորությունները և նպաստել նրա ընտանիքի աղքատության հաղթահարմանը։</w:t>
      </w:r>
    </w:p>
    <w:p>
      <w:pPr>
        <w:numPr>
          <w:ilvl w:val="0"/>
          <w:numId w:val="5"/>
        </w:numPr>
      </w:pPr>
      <w:r>
        <w:rPr/>
        <w:t xml:space="preserve">Միջոցառման մասին տեղեկատվությունն արտացոլվում է Հայաստանի Հանրապետության աշխատանքի և սոցիալական հարցերի նախարարության միասնական սոցիալական ծառայության (այսուհետ՝ ծառայություն) պաշտոնական (https://socservice.am) կայքէջում: Ծառայության տարածքային կենտրոնը (այսուհետ՝ տարածքային կենտռրոն) տեղեկատվությունը տեղադրում է իր գտնվելու վայրում՝ տեսանելի տեղում, ինչպես նաև տարածում՝ զանգվածային լրատվության միջոցների և հնարավոր այլ իրազեկման աղբյուրների միջոցով։</w:t>
      </w:r>
    </w:p>
    <w:p>
      <w:pPr>
        <w:numPr>
          <w:ilvl w:val="0"/>
          <w:numId w:val="5"/>
        </w:numPr>
      </w:pPr>
      <w:r>
        <w:rPr/>
        <w:t xml:space="preserve">Միջոցառման շրջանակում միանվագ փոխհատուցում է տրամադրվում այն իրավաբանական անձին կամ անհատ ձեռնարկատիրոջը (այսուհետ՝ գործատու), որն առնվազն մեկ տարի, իսկ սեզոնային աշխատանքի դեպքում՝ 12 ամիս ժամկետով, նորմալ աշխատաժամանակի ռեժիմով (մեկ դրույքով) աշխատանքային պայմանագիր է կնքում այն գործազուրկի հետ, որը մինչև սույն միջոցառման շրջանակներում աշխատանքի ընդունվելը «Եկամտային հարկի, շահութահարկի և սոցիալական վճարի անձնավորված հաշվառման համակարգում» առկա տեղեկատվության հիման վրա վերջին երեք ամսվա ընթացքում չի հանդիսացել հարկ վճարող։</w:t>
      </w:r>
    </w:p>
    <w:p>
      <w:pPr>
        <w:numPr>
          <w:ilvl w:val="0"/>
          <w:numId w:val="5"/>
        </w:numPr>
      </w:pPr>
      <w:r>
        <w:rPr/>
        <w:t xml:space="preserve">Միջոցառման շրջանակներում աշխատանքի ընդունած յուրաքանչյուր գործազուրկի համար գործատուին վճարվում է միանվագ փոխհատուցում 250.0 հազար դրամի չափով, իսկ նպաստառու գործազուրկի համար՝ 300.0 հազար դրամի չափով։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ՄԻՋՈՑԱՌՄԱՆ ԻՐԱԿԱՆԱՑՈՒՄՆ ՈՒ ԳՆԱՀԱՏՈՒՄԸ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Միջոցառման շրջանակներում փոխհատուցում ստանալու նպատակով գործատուն ծառայության պաշտոնական կայքէջի միջոցով լրացնում է առցանց դիմում՝ կցելով համապատասխան աշխատանքային պայմանագիրը և մուտքագրում աշխատանքի ընդունվող անձի հանրային ծառայության համարանիշը։ Գործատուի դիմումը ընդունվում է համակարգի կողմից միայն այն դեպքում, երբ հաստատվում է, որ աշխատանքի ընդունվող անձը գործազուրկ է (նպաստառու գործազուրկ է) և համապատասխանում է սույն միջոցառման 3-րդ կետով նախատեսված չափանիշներին։</w:t>
      </w:r>
    </w:p>
    <w:p>
      <w:pPr>
        <w:numPr>
          <w:ilvl w:val="0"/>
          <w:numId w:val="7"/>
        </w:numPr>
      </w:pPr>
      <w:r>
        <w:rPr/>
        <w:t xml:space="preserve">Գործատուի էլեկտրոնային դիմումն ընդունվելուց հետո հինգ աշխատանքային օրվա ընթացքում ծառայությունը միանվագ փոխհատուցումը տրամադրում է գործատուին՝ նրա բանկային հաշվեհամարին փոխանցելու միջոցով։</w:t>
      </w:r>
    </w:p>
    <w:p>
      <w:pPr>
        <w:numPr>
          <w:ilvl w:val="0"/>
          <w:numId w:val="7"/>
        </w:numPr>
      </w:pPr>
      <w:r>
        <w:rPr/>
        <w:t xml:space="preserve">Միջոցառման շրջանակներում գործատուին տրամադրված միանվագ փոխհատուցման գումարը ենթակա է վերադարձման`</w:t>
      </w:r>
    </w:p>
    <w:p>
      <w:pPr>
        <w:jc w:val="both"/>
      </w:pPr>
      <w:r>
        <w:rPr/>
        <w:t xml:space="preserve">1) գործատուի կողմից, եթե նորմալ աշխատաժամանակի ռեժիմով (մեկ դրույքով) աշխատանքային պայմանագիրը լուծվում է գործատուի նախաձեռնությամբ՝ մինչև մեկ տարին լրանալը, իսկ սեզոնային աշխատանքով ապահովման դեպքում՝ մինչև տվյալ գործատուի մոտ աշխատած ժամանակահատվածի 12 ամիսը լրանալը, բացառությամբ Հայաստանի Հանրապետության աշխատանքային օրենսգրքի 109-րդ հոդվածի 1-ին մասի 5-րդ, 6-րդ, 7-րդ, 8-րդ, 11-րդ, 12-րդ, 13-րդ կետերով, 113-րդ հոդվածի 1-ին մասի 5-րդ, 6-րդ, 8-10-րդ կետերով նախատեսված հիմքերով լուծման դեպքերի.</w:t>
      </w:r>
    </w:p>
    <w:p>
      <w:pPr/>
      <w:r>
        <w:rPr/>
        <w:t xml:space="preserve">2) գործազուրկի (բացառությամբ հաշմանդամություն ունեցող անձի) կողմից, եթե նորմալ աշխատաժամանակի ռեժիմով (մեկ դրույքով) աշխատանքային պայմանագիրը լուծվել է իր նախաձեռնությամբ` մինչև մեկ տարին լրանալը, իսկ սեզոնային աշխատանքով ապահովման դեպքում՝ մինչև տվյալ գործատուի մոտ աշխատած ժամանակահատվածի 12 ամիսը լրանալը.</w:t>
      </w:r>
    </w:p>
    <w:p>
      <w:pPr/>
      <w:r>
        <w:rPr/>
        <w:t xml:space="preserve">3) գործատուի և գործազուրկի (բացառությամբ հաշմանդամություն ունեցող անձի) կողմից հավասարապես, եթե նորմալ աշխատաժամանակի ռեժիմով (մեկ դրույքով) աշխատանքային պայմանագիրը լուծվել է աշխատանքային պայմանագրի կողմերի համաձայնությամբ` մինչև մեկ տարին լրանալը, իսկ սեզոնային աշխատանքով ապահովման դեպքում՝ մինչև տվյալ գործատուի մոտ աշխատած ժամանակահատվածի 12 ամիսը լրանալը:</w:t>
      </w:r>
    </w:p>
    <w:p>
      <w:pPr>
        <w:numPr>
          <w:ilvl w:val="0"/>
          <w:numId w:val="8"/>
        </w:numPr>
      </w:pPr>
      <w:r>
        <w:rPr/>
        <w:t xml:space="preserve">Միջոցառմամբ սահմանված ժամկետից՝ մեկ տարուց շուտ աշխատանքային պայմանագիրը լուծելու դեպքում գործատուի կամ գործազուրկի կողմից վերադարձման ենթակա գումարի չափը հաշվարկվում է` գործատուին տրամադրված միանվագ փոխհատուցման գումարը բաժանելով 12-ի և բազմապատկելով դեռևս չաշխատած կամ ոչ լրիվ աշխատած ամիսների թվով։</w:t>
      </w:r>
    </w:p>
    <w:p>
      <w:pPr>
        <w:numPr>
          <w:ilvl w:val="0"/>
          <w:numId w:val="8"/>
        </w:numPr>
      </w:pPr>
      <w:r>
        <w:rPr/>
        <w:t xml:space="preserve">Տարածքային կենտրոնը եռամսյակը մեկ անգամ իրականացնում է գործազուրկների զբաղվածության ապահովման միջոցառման կատարման ընթացքի մոնիթորինգ։</w:t>
      </w:r>
    </w:p>
    <w:p>
      <w:pPr>
        <w:numPr>
          <w:ilvl w:val="0"/>
          <w:numId w:val="8"/>
        </w:numPr>
      </w:pPr>
      <w:r>
        <w:rPr/>
        <w:t xml:space="preserve">Միջոցառման ընթացիկ գնահատումն իրականացվում է աշխատանքի տեղավորման չափանիշի հիման վրա, որը հաշվարկվում է հետևյալ ձևով.</w:t>
      </w:r>
    </w:p>
    <w:p>
      <w:pPr/>
      <w:r>
        <w:rPr/>
        <w:t xml:space="preserve"> </w:t>
      </w:r>
    </w:p>
    <w:tbl>
      <w:tblGrid>
        <w:gridCol w:w="0" w:type="dxa"/>
        <w:gridCol w:w="210" w:type="dxa"/>
        <w:gridCol w:w="0" w:type="dxa"/>
        <w:gridCol w:w="0" w:type="dxa"/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p>
            <w:pPr/>
            <w:r>
              <w:rPr/>
              <w:t xml:space="preserve">S</w:t>
            </w:r>
            <w:r>
              <w:rPr>
                <w:vertAlign w:val="subscript"/>
              </w:rPr>
              <w:t xml:space="preserve">չ</w:t>
            </w:r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=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Ը - 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x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100%, որտեղ՝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Ը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Տչ -ն` աշխատանքի տեղավորման չափանիշն է,</w:t>
      </w:r>
    </w:p>
    <w:p>
      <w:pPr/>
      <w:r>
        <w:rPr/>
        <w:t xml:space="preserve">Ը-ն` տվյալ պահին նախորդող մեկ տարվա ընթացքում միջոցառման միջոցով աշխատանքի տեղավորված անձանց թիվն է,</w:t>
      </w:r>
    </w:p>
    <w:p>
      <w:pPr/>
      <w:r>
        <w:rPr/>
        <w:t xml:space="preserve">Ա-ն` տվյալ պահին նախորդող մեկ տարվա ընթացքում միջոցառման միջոցով աշխատանքի տեղավորված անձանցից` գործատուին միանվագ փոխհատուցումը տրամադրելուց հետո աշխատանքից ազատվածների թիվն է տվյալ պահի դրությամբ:</w:t>
      </w:r>
    </w:p>
    <w:p>
      <w:pPr>
        <w:numPr>
          <w:ilvl w:val="0"/>
          <w:numId w:val="9"/>
        </w:numPr>
      </w:pPr>
      <w:r>
        <w:rPr/>
        <w:t xml:space="preserve">Միջոցառման վերջնական գնահատման համար հիմք է հանդիսանում կայուն զբաղվածության չափանիշը, որը հաշվարկվում է հետևյալ ձևով.</w:t>
      </w:r>
    </w:p>
    <w:p>
      <w:pPr/>
      <w:r>
        <w:rPr/>
        <w:t xml:space="preserve"> </w:t>
      </w:r>
    </w:p>
    <w:tbl>
      <w:tblGrid>
        <w:gridCol w:w="330" w:type="dxa"/>
        <w:gridCol w:w="240" w:type="dxa"/>
        <w:gridCol w:w="0" w:type="dxa"/>
        <w:gridCol w:w="885" w:type="dxa"/>
        <w:gridCol w:w="975" w:type="dxa"/>
      </w:tblGrid>
      <w:tblPr>
        <w:tblW w:w="0" w:type="dxa"/>
        <w:tblLayout w:type="autofit"/>
      </w:tblPr>
      <w:tr>
        <w:trPr/>
        <w:tc>
          <w:tcPr>
            <w:tcW w:w="330" w:type="dxa"/>
            <w:noWrap/>
          </w:tcPr>
          <w:p>
            <w:pPr/>
            <w:r>
              <w:rPr/>
              <w:t xml:space="preserve">Զ</w:t>
            </w:r>
            <w:r>
              <w:rPr>
                <w:vertAlign w:val="subscript"/>
              </w:rPr>
              <w:t xml:space="preserve">կչ</w:t>
            </w:r>
          </w:p>
        </w:tc>
        <w:tc>
          <w:tcPr>
            <w:tcW w:w="240" w:type="dxa"/>
            <w:noWrap/>
          </w:tcPr>
          <w:p>
            <w:pPr/>
            <w:br/>
            <w:r>
              <w:rPr/>
              <w:t xml:space="preserve"> =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Ը - (Ա - Ա</w:t>
            </w:r>
            <w:r>
              <w:rPr>
                <w:vertAlign w:val="subscript"/>
              </w:rPr>
              <w:t xml:space="preserve">տ</w:t>
            </w:r>
            <w:r>
              <w:rPr/>
              <w:t xml:space="preserve">)</w:t>
            </w:r>
          </w:p>
        </w:tc>
        <w:tc>
          <w:tcPr>
            <w:tcW w:w="885" w:type="dxa"/>
            <w:noWrap/>
          </w:tcPr>
          <w:p>
            <w:pPr/>
            <w:br/>
            <w:r>
              <w:rPr/>
              <w:t xml:space="preserve"> x 100%,</w:t>
            </w:r>
          </w:p>
        </w:tc>
        <w:tc>
          <w:tcPr>
            <w:tcW w:w="975" w:type="dxa"/>
            <w:noWrap/>
          </w:tcPr>
          <w:p>
            <w:pPr/>
            <w:br/>
            <w:r>
              <w:rPr/>
              <w:t xml:space="preserve"> որտեղ՝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__________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Ը</w:t>
            </w:r>
          </w:p>
        </w:tc>
      </w:tr>
    </w:tbl>
    <w:p>
      <w:pPr/>
      <w:r>
        <w:rPr/>
        <w:t xml:space="preserve"> Զկչ-ն` կայուն զբաղվածության չափանիշն է,</w:t>
      </w:r>
    </w:p>
    <w:p>
      <w:pPr/>
      <w:r>
        <w:rPr/>
        <w:t xml:space="preserve">Ը-ն` տվյալ տարվա ընթացքում միջոցառման միջոցով աշխատանքի տեղավորված անձանց թիվն է,</w:t>
      </w:r>
    </w:p>
    <w:p>
      <w:pPr/>
      <w:r>
        <w:rPr/>
        <w:t xml:space="preserve">Ա-ն` տվյալ տարվա ընթացքում միջոցառման միջոցով աշխատանքի տեղավորված անձանցից` գործատուին միանվագ փոխհատուցումը տրամադրելուց հետո մեկ տարվա ընթացքում աշխատանքից ազատվածների թիվն է,</w:t>
      </w:r>
    </w:p>
    <w:p>
      <w:pPr/>
      <w:r>
        <w:rPr/>
        <w:t xml:space="preserve">Ատ-ն` գործատուին միանվագ փոխհատուցումը տրամադրելուց հետո մեկ տարվա ընթացքում աշխատանքից ազատված անձանցից` աշխատանքից ազատվելուց հետո մեկամսյա ժամկետում աշխատանքի տեղավորված անձանց թիվն է: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E69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57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48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05C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A08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32534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0584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89A4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2026-03-31T09:03:51+04:00</dcterms:created>
  <dcterms:modified xsi:type="dcterms:W3CDTF">2026-03-31T09:03:51+04:00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