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«ՆԱԽԱԳԾԱՅԻՆ ՀԱՏՈՒԿ ԼՈՒԾՈՒՄՆԵՐՈՎ ՀԱՄԱԼՐՄԱՆ ԵՆԹԱԿԱ ՄԻ ՇԱՐՔ ԿԱՐԵՎՈՐԱԳՈՒՅՆ ՆՇԱՆԱԿՈՒԹՅԱՆ ՕԲՅԵԿՏՆԵՐԻ ՑԱՆԿԸ ԵՎ ԴՐԱՆՑ ՇԱՀԱԳՈՐԾՄԱՆ ՄԱՏՉԵԼԻՈՒԹՅՈՒՆՆ ԱՊԱՀՈՎՈՂ ՄԻՋՈՑԱՌՈՒՄՆԵՐԻ ԾՐԱԳԻՐԸ ՀԱՍՏԱՏԵԼՈՒ ՄԱՍԻՆ» ՀԱՅԱՍՏԱՆԻ ՀԱՆՐԱՊԵՏՈՒԹՅԱՆ 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         »______________  2021  թվականի   N___-Լ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ՆԱԽԱԳԾԱՅԻՆ ՀԱՏՈՒԿ ԼՈՒԾՈՒՄՆԵՐՈՎ ՀԱՄԱԼՐՄԱՆ ԵՆԹԱԿԱ ՄԻ</w:t>
      </w:r>
      <w:r>
        <w:rPr/>
        <w:t xml:space="preserve"> </w:t>
      </w:r>
      <w:r>
        <w:rPr>
          <w:b w:val="1"/>
          <w:bCs w:val="1"/>
        </w:rPr>
        <w:t xml:space="preserve">ՇԱՐՔ</w:t>
      </w:r>
      <w:r>
        <w:rPr/>
        <w:t xml:space="preserve"> </w:t>
      </w:r>
      <w:r>
        <w:rPr>
          <w:b w:val="1"/>
          <w:bCs w:val="1"/>
        </w:rPr>
        <w:t xml:space="preserve">ԿԱՐԵՎՈՐԱԳՈՒՅՆ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ՇԱՀԱԳՈՐԾՄԱՆ</w:t>
      </w:r>
      <w:r>
        <w:rPr/>
        <w:t xml:space="preserve"> </w:t>
      </w:r>
      <w:r>
        <w:rPr>
          <w:b w:val="1"/>
          <w:bCs w:val="1"/>
        </w:rPr>
        <w:t xml:space="preserve">ՄԱՏՉԵԼԻՈՒԹՅՈՒՆՆ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Հիմք ընդունելով «Քաղաքաշինության մասին» Հայաստանի Հանրապետության օրենքի 10-րդ հոդվածի «ա» և «զ» մասերը, 10.1 հոդվածի 3-րդ մասի 12-րդ կետը, «Հայաստանի Հանրապետությունում հաշմանդամների սոցիալական պաշտպանության մասին» Հայաստանի Հանրապետության օրենքի 5.1 հոդվածի «ա» մասի դրույթները՝ Հայաստանի Հանրապետության կառավարությունը որոշում է.</w:t>
      </w:r>
    </w:p>
    <w:p>
      <w:pPr/>
      <w:r>
        <w:rPr/>
        <w:t xml:space="preserve">1. Հաստատել`</w:t>
      </w:r>
    </w:p>
    <w:p>
      <w:pPr/>
      <w:r>
        <w:rPr/>
        <w:t xml:space="preserve">1) Նախագծային հատուկ լուծումներով համալրման ենթակա մի շարք կարևորագույն նշանակության օբյեկտների ցանկը՝ համաձայն N 1 հավելվածի.</w:t>
      </w:r>
    </w:p>
    <w:p>
      <w:pPr/>
      <w:r>
        <w:rPr/>
        <w:t xml:space="preserve">2) Մի շարք կարևորագույն նշանակության օբյեկտների շահագործման մատչելիությունն ապահովող միջոցառումների ծրագիրը՝ համաձայն N 2 հավելվածի:</w:t>
      </w:r>
    </w:p>
    <w:p>
      <w:pPr/>
      <w:r>
        <w:rPr/>
        <w:t xml:space="preserve">2. Հայաստանի Հանրապետության պետական կառավարման և տեղական ինքնակառավարման (շահագրգիռ) մարմինների ղեկավարներին (առաջարկությամբ),՝ սույն որոշումն (այսուհետ՝ որոշում) ուժի մեջ մտնելուց հետո եռամսյա ժամկետում՝ որոշման N 1 հավելվածով նախատեսված, իրենց ենթակայության կարևորագույն նշանակության օբյեկտների վերաբերյալծրագրայինառաջարկները (առաջնահերթությունների, ֆինանսավորման աղբյուրի և միջոցառումների ժամանակացույցի մասով) ներկայացնել  ՀՀ քաղաքաշինության կոմիտե:</w:t>
      </w:r>
    </w:p>
    <w:p>
      <w:pPr/>
      <w:r>
        <w:rPr/>
        <w:t xml:space="preserve">3. Հայաստանի Հանրապետության քաղաքաշինության կոմիտեի նախագահին՝ որոշման 2-րդ կետով նախատեսված առաջարկներն ստանալուց հետո՝ եռամսյա ժամկետում առաջարկներն ամփոփել, կազմել միջոցառումների ծրագիր և ՀՀ կառավարության կողմից սահմանված կարգով ներկայացնել ՀՀ կառավարություն:</w:t>
      </w:r>
    </w:p>
    <w:p>
      <w:pPr/>
      <w:r>
        <w:rPr/>
        <w:t xml:space="preserve">4.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վարչապետ                                                                                  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