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ՍՈՑԻԱԼԱԿԱՆ ԲՆԱԿԱՐԱՆԱՅԻՆ ՖՈՆԴԻ ԿԱՑԱՐԱՆՆԵՐՈՒՄ ԲՆԱԿՎՈՂ ՄԻԱՅՆԱԿ ԿԵՆՍԱԹՈՇԱԿԱՌՈՒՆԵՐԻՆ ՍՊԱՌԱԾ ԲՆԱԿԱՆ ԳԱԶԻ, ԷԼԵԿՏՐԱԿԱՆ ԷՆԵՐԳԻԱՅԻ ԵՎ ՋՐԱՄԱՏԱԿԱՐԱՐՄԱՆ ՎԱՐՁԱՎՃԱՐՆԵՐԻ ՓՈԽՀԱՏՈՒՑՄԱՆ ԿԱՐԳԸ , ԻՆՉՊԵՍ ՆԱԵՎ 2022 ԹՎԱԿԱՆԻՆ ՓՈԽՀԱՏՈՒՑՄԱՆ ԵՆԹԱԿԱ ԾԱԽՍԵՐԻ ԾԱՎԱԼՆԵՐԸ ՍԱՀՄԱՆԵԼՈՒ ԵՎ ՀԱՅԱՍՏԱՆԻ ՀԱՆՐԱՊԵՏՈՒԹՅԱՆ ԿԱՌԱՎԱՐՈՒԹՅԱՆ 2020 ԹՎԱԿԱՆԻ ՀՈՒԼԻՍԻ 30-Ի N 1278-Ն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«—-» ———————— 2021 թվականի N –Ն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ՍՈՑԻԱԼԱԿԱՆ ԲՆԱԿԱՐԱՆԱՅԻՆ ՖՈՆԴԻ ԿԱՑԱՐԱՆՆԵՐՈՒՄ ԲՆԱԿՎՈՂ ՄԻԱՅՆԱԿ ԿԵՆՍԱԹՈՇԱԿԱՌՈՒՆԵՐԻՆ ՍՊԱՌԱԾ ԲՆԱԿԱՆ ԳԱԶԻ, ԷԼԵԿՏՐԱԿԱՆ ԷՆԵՐԳԻԱՅԻ ԵՎ ՋՐԱՄԱՏԱԿԱՐԱՐՄԱՆ ՎԱՐՁԱՎՃԱՐՆԵՐԻ ՓՈԽՀԱՏՈՒՑՄԱՆ ԿԱՐԳԸ , ԻՆՉՊԵՍ ՆԱԵՎ 2022 ԹՎԱԿԱՆԻՆ ՓՈԽՀԱՏՈՒՑՄԱՆ ԵՆԹԱԿԱ ԾԱԽՍԵՐԻ ԾԱՎԱԼՆԵՐԸ ՍԱՀՄԱՆԵԼՈՒ ԵՎ </w:t>
      </w:r>
      <w:r>
        <w:rPr>
          <w:b w:val="1"/>
          <w:bCs w:val="1"/>
        </w:rPr>
        <w:t xml:space="preserve">ՀԱՅԱՍՏԱՆԻ ՀԱՆՐԱՊԵՏՈՒԹՅԱՆ ԿԱՌԱՎԱՐՈՒԹՅԱՆ 2020 ԹՎԱԿԱՆԻ ՀՈՒԼԻՍԻ 30-Ի N 1278-Ն ՈՐՈՇՈՒՄՆ ՈՒԺԸ ԿՈՐՑՐԱԾ ՃԱՆԱՉԵԼՈՒ ՄԱՍԻՆ</w:t>
      </w:r>
      <w:r>
        <w:rPr/>
        <w:t xml:space="preserve"> </w:t>
      </w:r>
    </w:p>
    <w:p>
      <w:pPr/>
      <w:r>
        <w:rPr/>
        <w:t xml:space="preserve">Հիմք ընդունելով «Նորմատիվ իրավական ակտերի մասին»  օրենքի 33-րդ, 34-րդ և 36-րդ հոդվածները, ինչպես նաև ղեկավարվելով «Հայաստանի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մասին» օրենքի 3-րդ հոդվածով,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Սահմանել՝</w:t>
      </w:r>
    </w:p>
    <w:p>
      <w:pPr>
        <w:jc w:val="both"/>
      </w:pPr>
      <w:r>
        <w:rPr/>
        <w:t xml:space="preserve">1) Հայաստանի Հանրապետությունում սոցիալական բնակարանային ֆոնդի կացարաններում բնակվող միայնակ կենսաթոշակառուներին (այսուհետ՝ շահառուներ) սպառած բնական գազի, էլեկտրական էներգիայի և ջրամատակարարման վարձավճարների փոխհատուցման կարգը՝ համաձայն հավելվածի.</w:t>
      </w:r>
    </w:p>
    <w:p>
      <w:pPr>
        <w:jc w:val="both"/>
      </w:pPr>
      <w:r>
        <w:rPr/>
        <w:t xml:space="preserve">2) Շահառուների սպառած բնական գազի, էլեկտրական էներգիայի և ջրամատակարարման վարձավճարների դիմաց փոխհատուցման ենթակա ծախսերի ծավալը 2022 թվականի համար յուրաքանչյուր կենսաթոշակառուի հաշվարկով ամսական 12,0 հազ. դրամ (տարեկան՝ 144,0 հազ. դրամ)։</w:t>
      </w:r>
    </w:p>
    <w:p>
      <w:pPr>
        <w:numPr>
          <w:ilvl w:val="0"/>
          <w:numId w:val="3"/>
        </w:numPr>
      </w:pPr>
      <w:r>
        <w:rPr/>
        <w:t xml:space="preserve">Առաջարկել «Գազպրոմ Արմենիա» ՓԲԸ, «Հայկական էլեկտրական ցանցեր» ՓԲԸ և «Վեոլիա ջուր» ՓԲԸ ղեկավարներին՝ Հայաստանի Հանրապետության աշխատանքի և սոցիալական հարցերի նախարարության հետ կնքել ծառայությունների դիմաց վարձավճարների փոխհատուցման պայմանագիր և յուրաքանչյուր ամիս ներկայացված շահառուների ցուցակի և սույն որոշմամբ սահմանված կարգում նշված տեղեկության համաձայն, սույն որոշման 1-ին կետի 2-րդ ենթակետում նշված գումարի չափով նվազեցնել շահառուների համապատասխան ծառայության ամսական վճարումների չափերը։</w:t>
      </w:r>
    </w:p>
    <w:p>
      <w:pPr/>
      <w:r>
        <w:rPr/>
        <w:t xml:space="preserve">3․ Ուժը կորցրած ճանաչել Հայաստանի Հանրապետության կառավարության 2020 թվականի հուլիսի 30-ի «Հայաստանի Հանրապետությունում սոցիալական բնակարանային ֆոնդի կացարաններում բնակվող միայնակ կենսաթոշակառուներին սպառած բնական գազի, էլեկտրական էներգիայի և ջրամատակարարման վարձավճարների փոխհատուցման կարգը, ինչպես նաև յուրաքանչյուր տարվա համար փոխհատուցման ենթակա ծախսերի ծավալները սահմանելու մասին» N 1278-Ն որոշումը։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 և տարածվում է 2022 թվականի հունվարի 1-ից հետո ծագած հարաբերությունների վրա։</w:t>
      </w:r>
    </w:p>
    <w:p>
      <w:pPr>
        <w:jc w:val="end"/>
      </w:pPr>
      <w:r>
        <w:rPr/>
        <w:t xml:space="preserve"> Հավելված</w:t>
      </w:r>
    </w:p>
    <w:p>
      <w:pPr>
        <w:jc w:val="end"/>
      </w:pPr>
      <w:r>
        <w:rPr/>
        <w:t xml:space="preserve">ՀՀ կառավարության 2021 թվականի</w:t>
      </w:r>
    </w:p>
    <w:p>
      <w:pPr>
        <w:jc w:val="end"/>
      </w:pPr>
      <w:r>
        <w:rPr/>
        <w:t xml:space="preserve">——————— —-ի N —— Ն որոշման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ՍՈՑԻԱԼԱԿԱՆ ԲՆԱԿԱՐԱՆԱՅԻՆ ՖՈՆԴԻ ԿԱՑԱՐԱՆՆԵՐՈՒՄ ԲՆԱԿՎՈՂ ՄԻԱՅՆԱԿ ԿԵՆՍԱԹՈՇԱԿԱՌՈՒՆԵՐԻՆ ՍՊԱՌԱԾ ԲՆԱԿԱՆ ԳԱԶԻ, ԷԼԵԿՏՐԱԿԱՆ ԷՆԵՐԳԻԱՅԻ ԵՎ ՋՐԱՄԱՏԱԿԱՐԱՐՄԱՆ ՎԱՐՁԱՎՃԱՐՆԵՐԻ ՓՈԽՀԱՏՈՒՑՄԱՆ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կարգավորվում են շահառուների սպառած բնական գազի, էլեկտրական էներգիայի և ջրամատակարարման վարձավճարների փոխհատուցման (այսուհետ՝ փոխհատուցում)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Հայաստանի Հանրապետությունում սոցիալական բնակարանային ֆոնդում ներառվում են ՀՀ օրենսդրությամբ Հայաստանի Հանրապետության աշխատանքի և սոցիալական հարցերի նախարարությանը (այսուհետ՝ նախարարություն) որպես սոցիալական բնակարանային ֆոնդ ամրացված բազմաբնակարան շենքերը, ինչպես նաև «Տնային պայմաններում միայնակ տարեցների և հաշմանդամների սոցիալական սպասարկման կենտրոն» պետական ոչ առևտրային կազմակերպության հատուկ խմբերին դասված որոշակի կատեգորիայի անձանց կացարանը, «Առաքելություն Հայաստան» բարեգործական հասարակական կազմակերպության «Նռնենի» սոցիալական տունը և Գորիսի համայնքապետարանի ենթակայությամբ որպես սոցիալական բնակարանային ֆոնդ հանդիսացող բազմաբնակարան շենքերը (այսուհետ՝ սոցիալական տներ)։</w:t>
      </w:r>
    </w:p>
    <w:p>
      <w:pPr>
        <w:numPr>
          <w:ilvl w:val="0"/>
          <w:numId w:val="5"/>
        </w:numPr>
      </w:pPr>
      <w:r>
        <w:rPr/>
        <w:t xml:space="preserve">Սույն կարգի իմաստով շահառու է համարվում․</w:t>
      </w:r>
    </w:p>
    <w:p>
      <w:pPr/>
      <w:r>
        <w:rPr/>
        <w:t xml:space="preserve">1) ՀՀ օրենսդրությամբ սահմանված կարգով սոցիալական տներում պայմանագրային հիմունքով բնակվող միայնակ կենսաթոշակառուն, ծերության կամ հաշմանդամության նպաստի իրավունք ունեցող անձը․</w:t>
      </w:r>
    </w:p>
    <w:p>
      <w:pPr/>
      <w:r>
        <w:rPr/>
        <w:t xml:space="preserve">2) ՀՀ օրենսդրությամբ սահմանված կարգով սոցիալական տներում պայմանագրային հիմունքով բնակվող միայն կենսաթոշակառուներից, ծերության կամ հաշմանդամության նպաստի իրավունք ունեցող անձանցից բաղկացած ընտանիքը, այդ թվում իր (իրենց) խնամքին ենթակա անչափահաս երեխան (երեխաները):</w:t>
      </w:r>
    </w:p>
    <w:p>
      <w:pPr>
        <w:numPr>
          <w:ilvl w:val="0"/>
          <w:numId w:val="6"/>
        </w:numPr>
      </w:pPr>
      <w:r>
        <w:rPr/>
        <w:t xml:space="preserve">Նախարարությունը «Գազպրոմ Արմենիա» ՓԲԸ, «Հայկական էլեկտրական ցանցեր» ՓԲԸ և «Վեոլիա ջուր» ՓԲԸ ընկերությունների (այսուհետ՝ ընկերություններ) հետ յուրաքանչյուրի հետ մինչև յուրաքանչյուր տարվա հունվարի 15-ը կնքում է առանձին պայմանագիր՝ համապատասխան ծառայության դիմաց վարձավճարի փոխհատուցման վերաբերյալ (համաձայն Ձև N 1-ի)։</w:t>
      </w:r>
    </w:p>
    <w:p>
      <w:pPr>
        <w:numPr>
          <w:ilvl w:val="0"/>
          <w:numId w:val="6"/>
        </w:numPr>
      </w:pPr>
      <w:r>
        <w:rPr/>
        <w:t xml:space="preserve">Սոցիալական տների համապատասխան իրավասությամբ օժտված պատասխանատու անձինք (այսուհետ՝ պատասխանատու անձ) մինչև յուրաքանչյուր տարվա հունվարի 10-ը նախարարություն են ներկայացնում՝ շահառուների ցուցակը՝ համապատասխան տեղեկությամբ (համաձայն Ձև N 2-ի), որը նախարարության համապատասխան ստորաբաժանման կողմից ճշգրտվելուց հետո մինչև հունվարի 15-ը ներկայացվում է նախարարի հաստատմանը: Տեղեկատվության մեջ անճշտություններ հայտնաբերելու դեպքում նախարարությունը վերադարձնում է սոցիալական տների համապատասխան իրավասությամբ օժտված պատասխանատու անձին՝ հանձնարարելով եռօրյա ժամկետում նախարարություն ներկայացնել տեղեկատվության նոր, ճշգրտված տարբերակը:</w:t>
      </w:r>
    </w:p>
    <w:p>
      <w:pPr>
        <w:numPr>
          <w:ilvl w:val="0"/>
          <w:numId w:val="6"/>
        </w:numPr>
      </w:pPr>
      <w:r>
        <w:rPr/>
        <w:t xml:space="preserve">Նախարարությունը, նախարարի կողմից հաստատված շահառուների ցուցակը՝ կից տեղեկությամբ (համաձայն Ձև N 3-ի) էլեկտրոնային եղանակով մինչև հունվարի 20-ը փոխանցում է ընկերություններին։</w:t>
      </w:r>
    </w:p>
    <w:p>
      <w:pPr>
        <w:numPr>
          <w:ilvl w:val="0"/>
          <w:numId w:val="6"/>
        </w:numPr>
      </w:pPr>
      <w:r>
        <w:rPr/>
        <w:t xml:space="preserve">Սույն որոշման 1-ին կետի 2-րդ ենթակետով սահմանված տարեկան 144,0 հազ․ դրամը կամ ամսական 12,0 հազ․ դրամը բաշխվում է յուրաքանչյուր շահառուի սպառած ծառայությունների վարձավճարների միջև հետևյալ կերպ․</w:t>
      </w:r>
    </w:p>
    <w:p>
      <w:pPr>
        <w:numPr>
          <w:ilvl w:val="0"/>
          <w:numId w:val="7"/>
        </w:numPr>
      </w:pPr>
      <w:r>
        <w:rPr/>
        <w:t xml:space="preserve">գազաֆիկացված բնակարաններում բնակվող յուրաքանչյուր շահառուին՝</w:t>
      </w:r>
    </w:p>
    <w:p>
      <w:pPr/>
      <w:r>
        <w:rPr/>
        <w:t xml:space="preserve">ա․ բնական գազի վարձավճարի դիմաց՝ ամսական 4,0 հազ․ դրամ,</w:t>
      </w:r>
    </w:p>
    <w:p>
      <w:pPr/>
      <w:r>
        <w:rPr/>
        <w:t xml:space="preserve">բ․ էլեկտրական էներգիայի վարձավճարի դիմաց՝ ամսական 7,0 հազ․ դրամ,</w:t>
      </w:r>
    </w:p>
    <w:p>
      <w:pPr/>
      <w:r>
        <w:rPr/>
        <w:t xml:space="preserve">գ․ ջրամատակարարման վարձավճարի դիմաց՝ ամսական 1,0 հազ․ դրամ:</w:t>
      </w:r>
    </w:p>
    <w:p>
      <w:pPr/>
      <w:r>
        <w:rPr/>
        <w:t xml:space="preserve">2) չգազաֆիկացված բնակարաններում բնակվող յուրաքանչյուր շահառուին՝</w:t>
      </w:r>
    </w:p>
    <w:p>
      <w:pPr/>
      <w:r>
        <w:rPr/>
        <w:t xml:space="preserve">ա․ էլեկտրական էներգիայի վարձավճարի դիմաց՝ ամսական 11,0 հազ․ դրամ,</w:t>
      </w:r>
    </w:p>
    <w:p>
      <w:pPr/>
      <w:r>
        <w:rPr/>
        <w:t xml:space="preserve">բ․ ջրամատակարարման վարձավճարի դիմաց՝ ամսական 1,0 հազ․ դրամ:</w:t>
      </w:r>
    </w:p>
    <w:p>
      <w:pPr>
        <w:numPr>
          <w:ilvl w:val="0"/>
          <w:numId w:val="8"/>
        </w:numPr>
      </w:pPr>
      <w:r>
        <w:rPr/>
        <w:t xml:space="preserve">Նախարարությունը ընկերությունների հաշվեհամարներին, համաձայն պայմանագրի՝ մինչև յուրաքանչյուր ամսվա 20-ը փոխանցում է սույն կարգի 6-րդ և 7-րդ կետերում ցուցակների շահառուների քանակին և յուրաքանչյուր ծառայության դիմաց փոխհատուցման ենթակա գումար՝ շահառուների սպառած ծառայությունների դիմաց վճարումները կատարելու համար՝ ըստ պայմանագրի դրույթների։</w:t>
      </w:r>
    </w:p>
    <w:p>
      <w:pPr>
        <w:numPr>
          <w:ilvl w:val="0"/>
          <w:numId w:val="8"/>
        </w:numPr>
      </w:pPr>
      <w:r>
        <w:rPr/>
        <w:t xml:space="preserve">Ընկերությունները յուրաքանչյուր ամսվա վերջին օրը նախարարությանն են տրամադրում սույն կարգի 6-րդ կետով սահմանված կարգով տրամադրված ցուցակներում ընդգրկված շահառուների, համապատասխանաբար՝ բնական գազի, էլեկտրական էներգիայի և ջրամատակարարման դիմաց կատարած վճարումների մասին տեղեկություն՝ էլեկտրոնային եղանակով (համաձայն Ձև N 4-ի)։</w:t>
      </w:r>
    </w:p>
    <w:p>
      <w:pPr>
        <w:numPr>
          <w:ilvl w:val="0"/>
          <w:numId w:val="8"/>
        </w:numPr>
      </w:pPr>
      <w:r>
        <w:rPr/>
        <w:t xml:space="preserve">Ամսվա կտրվածքով բնական գազի, էլեկտրական էներգիայի և ջրամատակարարման դիմաց վճարման ենթակա գումարը սույն կարգով սահմանվածից ավել լինելու դեպքում, տարբերությունը վճարում է սեփական միջոցների հաշվին:</w:t>
      </w:r>
    </w:p>
    <w:p>
      <w:pPr>
        <w:numPr>
          <w:ilvl w:val="0"/>
          <w:numId w:val="8"/>
        </w:numPr>
      </w:pPr>
      <w:r>
        <w:rPr/>
        <w:t xml:space="preserve">Ամսվա ընթացքում շահառուների քանակի փոփոխության վերաբերյալ սոցիալական տների պատասխանատուներից տեղեկություն ստանալու դեպքում նախարարությունն ընկերություններին է ներկայացնում լրացուցիչ ճշտված ցուցակ։</w:t>
      </w:r>
    </w:p>
    <w:p>
      <w:pPr>
        <w:numPr>
          <w:ilvl w:val="0"/>
          <w:numId w:val="8"/>
        </w:numPr>
      </w:pPr>
      <w:r>
        <w:rPr/>
        <w:t xml:space="preserve">Սոցիալական տների պատասխանատուները, շահառուների կարգավիճակի փոփոխության դեպքում (դուրսգրում, մահ և այլն), այդ մասին գրավոր տեղեկացնում են նախարարությանը, իսկ վերջինս տարվա ընթացքում տնտեսված գումարը փոխանցում է պետական բյուջե՝ մինչև հաջորդող տարվա հունվարի 25-ը։</w:t>
      </w:r>
    </w:p>
    <w:p>
      <w:pPr>
        <w:numPr>
          <w:ilvl w:val="0"/>
          <w:numId w:val="8"/>
        </w:numPr>
      </w:pPr>
      <w:r>
        <w:rPr/>
        <w:t xml:space="preserve">Եթե տարվա համար նախատեսված գումարից պակաս է լինում շահառուի սպառած կոմունալ ծառայությունների վարձավճարների չափը, ապա տնտեսված գումարն ընկերությունները փոխանցում են նախարարություն՝ պետական բյուջե վերադարձնելու համար՝ մինչև հաջորդող տարվա հունվարի 20-ը։</w:t>
      </w:r>
    </w:p>
    <w:p>
      <w:pPr>
        <w:numPr>
          <w:ilvl w:val="0"/>
          <w:numId w:val="8"/>
        </w:numPr>
      </w:pPr>
      <w:r>
        <w:rPr/>
        <w:t xml:space="preserve">Յուրաքանչյուր տարվա ավարտից հետո մինչև հաջորդ տարվա հունվարի 20-ը նախարարությունն իրականացնում է սույն կարգով նախատեսված փոխհատուցման գործընթացի իրականացման մոնիթորինգ և գնահատում, անհրաժեշտության դեպքում առաջարկում փոխհատուցման ծավալի փոփոխություն՝ հիմք ընդունելով նախորդ տարվա ընթացքում սպառման ծավալների և ծախսերի ուսումնասիրության ու վերլուծության արդյունքները, ինչպես նաև կոմունալ ծառայությունների սակագների և շահառուների քանակի փոփոխությունները:</w:t>
      </w:r>
    </w:p>
    <w:p>
      <w:pPr>
        <w:jc w:val="end"/>
      </w:pPr>
      <w:r>
        <w:rPr/>
        <w:t xml:space="preserve">Ձև N 1</w:t>
      </w:r>
    </w:p>
    <w:p>
      <w:pPr>
        <w:jc w:val="end"/>
      </w:pPr>
      <w:r>
        <w:rPr/>
        <w:t xml:space="preserve"> ՀՀ կառավարության 2021 թվականի</w:t>
      </w:r>
    </w:p>
    <w:p>
      <w:pPr>
        <w:jc w:val="end"/>
      </w:pPr>
      <w:r>
        <w:rPr/>
        <w:t xml:space="preserve">----------------------- ի ------ի N --------Ն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ՊԱՅՄԱՆԱԳԻՐ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ՄԱՏՈՒՑԱԾ ԾԱՌԱՅՈՒԹՅԱՆ ԴԻՄԱՑ ՓՈԽՀԱՏՈՒՑՄԱՆ ՎԵՐԱԲԵՐՅԱԼ</w:t>
      </w:r>
      <w:r>
        <w:rPr>
          <w:b w:val="1"/>
          <w:bCs w:val="1"/>
        </w:rPr>
        <w:t xml:space="preserve"> </w:t>
      </w:r>
    </w:p>
    <w:p>
      <w:pPr/>
      <w:r>
        <w:rPr/>
        <w:t xml:space="preserve"> Ք.Երևան «___»__________202_ թ.</w:t>
      </w:r>
    </w:p>
    <w:p>
      <w:pPr/>
      <w:r>
        <w:rPr/>
        <w:t xml:space="preserve"> </w:t>
      </w:r>
    </w:p>
    <w:p>
      <w:pPr/>
      <w:r>
        <w:rPr/>
        <w:t xml:space="preserve">ՀՀ աշխատանքի և սոցիալական հարցերի նախարարությունը (այսուհետ` նախարարություն), ի դեմս նախարարության գլխավոր քարտուղար _____________________________-ի, որը գործում է ՀՀ վարչապետի 2018 թվականի հունիսի 11-ի N 700-Լ որոշմամբ հաստատված նախարարության կանոնադրության հիման վրա, և _______________________­­­­­­ ընկերությունը (այսուհետ՝ ընկերություն), ի դեմս _________________ -ի, որը գործում է ընկերության կանոնադրության հիման վրա կնքեցին սույն պայմանագիրը հետևյալի մասին.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ԸՆԴՀԱՆՈՒՐ ԴՐՈՒՅԹՆԵՐ</w:t>
      </w:r>
    </w:p>
    <w:p>
      <w:pPr>
        <w:numPr>
          <w:ilvl w:val="0"/>
          <w:numId w:val="9"/>
        </w:numPr>
      </w:pPr>
      <w:r>
        <w:rPr/>
        <w:t xml:space="preserve">Սույն պայմանագրում կիրառվող հասկացություններն են՝</w:t>
      </w:r>
    </w:p>
    <w:p>
      <w:pPr/>
      <w:r>
        <w:rPr/>
        <w:t xml:space="preserve">1) փոխհատուցման ենթակա գումար` ՀՀ կառավարության 2021 թվականի --------------------------ի N ------- Ն որոշմամբ (այսուհետ՝ Որոշում) հաստատված Կարգի 7-րդ կետում նշված  գումար.</w:t>
      </w:r>
    </w:p>
    <w:p>
      <w:pPr/>
      <w:r>
        <w:rPr/>
        <w:t xml:space="preserve">2) շահառու՝ անձ, որի տվյալները ՀՀ օրենսդրությամբ սահմանված կարգով ներառվել են փոխհատուցման իրավունք ունեցող անձանց ցուցակում։</w:t>
      </w:r>
    </w:p>
    <w:p>
      <w:pPr>
        <w:numPr>
          <w:ilvl w:val="0"/>
          <w:numId w:val="10"/>
        </w:numPr>
      </w:pPr>
      <w:r>
        <w:rPr/>
        <w:t xml:space="preserve">Նախարարությունը սույն պայմանագիրը կնքելուց հետո․</w:t>
      </w:r>
    </w:p>
    <w:p>
      <w:pPr/>
      <w:r>
        <w:rPr/>
        <w:t xml:space="preserve">1)  ընկերությանը տրամադրում է նախարարության կողմից հաստատված շահառուների ցուցակը՝ անհրաժեշտ տվյալներով, (համաձայն N 3 ձևի)՝ մինչև   հունվարի 20-ը․</w:t>
      </w:r>
    </w:p>
    <w:p>
      <w:pPr/>
      <w:r>
        <w:rPr/>
        <w:t xml:space="preserve">2)  ընկերության հաշվեհամարին փոխանցում է շահառուների ցուցակում ընդգրկված անձանց քանակի չափով՝ յուրաքանչյուր ծառայության վարձավճարի համար ամսական սահմանված չափաքանակին համապատասխան գումար մինչև յուրաքանչյուր ամսվա 20-ը։</w:t>
      </w:r>
    </w:p>
    <w:p>
      <w:pPr>
        <w:jc w:val="both"/>
      </w:pPr>
      <w:r>
        <w:rPr/>
        <w:t xml:space="preserve">3․ Ընկերությունը շահառուների ցուցակում ներառված տվյալների հիման վրա կատարում է յուրաքանչյուր շահառուի կողմից սպառած համապատասխան ծառայության դիմաց վճարումը Որոշմամբ հաստատված կարգի 7-րդ կետում նշված գումարի չափով։</w:t>
      </w:r>
    </w:p>
    <w:p>
      <w:pPr>
        <w:jc w:val="both"/>
      </w:pPr>
      <w:r>
        <w:rPr/>
        <w:t xml:space="preserve">4․ Տվյալ ամսվա ընթացքում համապատասխան ծառայության դիմաց շահառուի կողմից վճարման ենթակա գումարը սահմանվածից ավել լինելու դեպքում ընկերությունը փոխհատուցում է միայն Որոշմամբ՝ տվյալ ծառայության դիմաց փոխհատուցման ենթակա սահմանված չափով, իսկ տարբերությունը վճարում շահառուն՝ սեփական միջոցների հաշվին։</w:t>
      </w:r>
    </w:p>
    <w:p>
      <w:pPr>
        <w:jc w:val="both"/>
      </w:pPr>
      <w:r>
        <w:rPr/>
        <w:t xml:space="preserve">5․ Տվյալ ամսվա ընթացքում համապատասխան ծառայության դիմաց շահառուի կողմից վճարման ենթակա գումարը սահմանված գումարից պակաս լինելու դեպքում տնտեսված գումարը փոխանցվում է հաջորդ ամսվա համապատասխան ծառայության վարձավճարի դիմաց՝ որպես կանխավճար։ Կանխավճարը կարող է փոխանցվել և օգտագործվել մինչև տվյալ տարվա դեկտեմբեր ամսվա համար փաստացի վարձավճարը ներառյալ։ Ընկերության հաշվեհամարին առկա շահառուների համար տնտեսված գումարը փոխանցվում է  հաջորդ տարվա համապատասխան ծառայության վարձավճարի դիմաց՝ որպես կանխավճար:</w:t>
      </w:r>
    </w:p>
    <w:p>
      <w:pPr>
        <w:numPr>
          <w:ilvl w:val="0"/>
          <w:numId w:val="11"/>
        </w:numPr>
      </w:pPr>
      <w:r>
        <w:rPr/>
        <w:t xml:space="preserve">Սույն պայմանագրով նախատեսված ծառայությունն ընկերության կողմից նախարարությանը մատուցված է համարվում ծառայության դիմաց տվյալ ամսվա ընթացքում կատարած վճարումների մասին տեղեկությունը (համաձայն Ձև N 4-ի) նախարարություն ներկայացնելու պահից։</w:t>
      </w:r>
    </w:p>
    <w:p>
      <w:pPr/>
      <w:r>
        <w:rPr/>
        <w:t xml:space="preserve">7․ Սույն պայմանագրով նախատեսված ծառայությունը նախարարության կողմից ընկերությանը մատուցված է համարվում մինչև հունվարի 20-ը նախարարության կողմից հաստատված շահառուների ցուցակը ընկերությանը տրամադրելու (համաձայն N 3 ձևի) և յուրաքանչյուր ամսվա մինչև 20-ն ընկերության հաշվեհամարին շահառուների ցուցակում ընգրկված անձանց քանակի չափով՝ յուրաքանչյուր ծառայության վարձավճարի համար ամսական սահմանված չափաքանակին համապատասխան գումարը փոխանցելու պահից։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ԿՈՂՄԵՐԻ ԻՐԱՎՈՒՆՔՆԵՐԸ ԵՎ ՊԱՐՏԱԿԱՆՈՒԹՅՈՒՆՆԵՐԸ</w:t>
      </w:r>
    </w:p>
    <w:p>
      <w:pPr>
        <w:numPr>
          <w:ilvl w:val="0"/>
          <w:numId w:val="12"/>
        </w:numPr>
      </w:pPr>
      <w:r>
        <w:rPr/>
        <w:t xml:space="preserve">Նախարարությունը և ընկերությունը (այսուհետ՝ Կողմեր) իրավունք ունեն՝</w:t>
      </w:r>
    </w:p>
    <w:p>
      <w:pPr/>
      <w:r>
        <w:rPr/>
        <w:t xml:space="preserve">1) սույն պայմանագրով սահմանված կարգով դադարեցնելու պայմանագրի գործողությունը.</w:t>
      </w:r>
    </w:p>
    <w:p>
      <w:pPr/>
      <w:r>
        <w:rPr/>
        <w:t xml:space="preserve">2) օրենքով սահմանված կարգով բողոքարկելու մյուս կողմի գործողությունները և (կամ) անգործությունը.</w:t>
      </w:r>
    </w:p>
    <w:p>
      <w:pPr/>
      <w:r>
        <w:rPr/>
        <w:t xml:space="preserve">3) իրականացնելու օրենքներով, այլ իրավական ակտերով, սույն պայմանագրով նախատեսված այլ իրավունքներ:</w:t>
      </w:r>
    </w:p>
    <w:p>
      <w:pPr>
        <w:numPr>
          <w:ilvl w:val="0"/>
          <w:numId w:val="13"/>
        </w:numPr>
      </w:pPr>
      <w:r>
        <w:rPr/>
        <w:t xml:space="preserve">9. Ընկերությունը պարտավոր է`</w:t>
      </w:r>
    </w:p>
    <w:p>
      <w:pPr>
        <w:numPr>
          <w:ilvl w:val="0"/>
          <w:numId w:val="14"/>
        </w:numPr>
      </w:pPr>
      <w:r>
        <w:rPr/>
        <w:t xml:space="preserve">վճարման ցուցակը և վճարման ենթակա գումարն ստանալու օրվան հաջորդող օրվանից հետո՝ իր հաշվի համարին փոխանցված միջոցներից յուրաքանչյուր ամիս շահառուի համապատասխան ծառայության (բնական գազի, էլեկտրական էներգիայի և ջրամատակարարման) աբոնենտային հաշվի համարներին փոխանցել ծախսած չափով գումարը (ոչ ավել սահմանված չափից), մինչև յուրաքանչյուր ամսվա 25-ը, իսկ փոխանցված միջոցները ծախսված գումարից ավելի լինելու դեպքում, տնտեսված գումարը պետք է փոխանցվի հաջորդ ամսվա համապատասխան ծառայության վարձավճարի դիմաց՝ որպես կանխավճար:</w:t>
      </w:r>
    </w:p>
    <w:p>
      <w:pPr>
        <w:numPr>
          <w:ilvl w:val="0"/>
          <w:numId w:val="14"/>
        </w:numPr>
      </w:pPr>
      <w:r>
        <w:rPr/>
        <w:t xml:space="preserve">մինչև յուրաքանչյուր ամսվա վերջին օրը Նախարարությանը տրամադրել Որոշմամբ սահմանված կարգի 6-րդ կետով սահմանված կարգով տրամադրված ցուցակներում ընդգրկված շահառուների համապատասխանաբար՝ բնական գազի, էլեկտրական էներգիայի և ջրամատակարարման դիմաց կատարած վճարումների մասին տեղեկություն՝ էլեկտրոնային եղանակով համապատասխան ծառայության դիմաց կատարած վճարումների մասին տեղեկատվություն (համաձայն Ձև N 4-ի)․</w:t>
      </w:r>
    </w:p>
    <w:p>
      <w:pPr>
        <w:numPr>
          <w:ilvl w:val="0"/>
          <w:numId w:val="14"/>
        </w:numPr>
      </w:pPr>
      <w:r>
        <w:rPr/>
        <w:t xml:space="preserve">Նախարարությունից ստանալով շահառուների փոփոխության (դուրսգրում, մահ, կարգավիճակի փոփոխություն և այլն) վերաբերյալ տեղեկություն, շահառուների քանակի նվազեցման պարագայում՝ անհապաղ դադարեցնել տվյալ շահառուի փոխհատուցման հատկացումը, իսկ նոր շահառուի ավելացման դեպքում, նախարարությունից ստանալով շահառուների լրացուցիչ ցուցակ և համապատասխան չափով փոխանցված լրացուցիչ գումար՝ իրականացնում է նոր շահառուի (շահառուների) տվյալ ամսվա համապատասխան ծառայության դիմաց սահմանված կարգով և չափով փոխհատուցման գործընթացը․</w:t>
      </w:r>
    </w:p>
    <w:p>
      <w:pPr/>
      <w:r>
        <w:rPr/>
        <w:t xml:space="preserve">4)   Յուրաքանչյուր  տարվա ավարտից հետո, շահառուի նախորդ տարվա դեկտեմբեր ամսվա համապատասխան ծառայության դիմաց վճարումը կատարելուց հետո՝ սույն պայմանագրի և Որոշման համաձայն, նախորդ տարվա ընթացքում Ընկերության հաշվեհամարին առկա շահառուների համար տնտեսված գումարը փոխանցել շահառուի հաջորդ տարվա համապատասխան ծառայության վարձավճարի դիմաց՝ որպես կանխավճար:</w:t>
      </w:r>
    </w:p>
    <w:p>
      <w:pPr>
        <w:numPr>
          <w:ilvl w:val="0"/>
          <w:numId w:val="15"/>
        </w:numPr>
      </w:pPr>
      <w:r>
        <w:rPr/>
        <w:t xml:space="preserve">Նախարարությունը պարտավոր է`</w:t>
      </w:r>
    </w:p>
    <w:p>
      <w:pPr>
        <w:jc w:val="both"/>
      </w:pPr>
      <w:r>
        <w:rPr/>
        <w:t xml:space="preserve">1) տվյալ տարվա շահառուների վճարման ցուցակը՝ անհրաժեշտ տվյալներով, հաստատված Նախարարի կողմից, ընկերությանը տրամադրել մինչև հունվարի 20-ը։</w:t>
      </w:r>
    </w:p>
    <w:p>
      <w:pPr>
        <w:jc w:val="both"/>
      </w:pPr>
      <w:r>
        <w:rPr/>
        <w:t xml:space="preserve">2) ընկերությանը տարվա ընթացքում լրացուցիչ ցուցակ տրամադրվում է միայն շահառուների քանակի փոփոխության դեպքում․</w:t>
      </w:r>
    </w:p>
    <w:p>
      <w:pPr>
        <w:jc w:val="both"/>
      </w:pPr>
      <w:r>
        <w:rPr/>
        <w:t xml:space="preserve">3) ընկերության հաշվի համարին մինչև յուրաքանչյուր ամսվա 20-ը փոխանցել ցուցակում ընդգրկված շահառուների քանակին և տվյալ ծառայության դիմաց փոխհատուցման ենթակա գումարի չափով գումար՝ շահառուների կողմից սպառած ծառայության դիմաց վճարումները կատարելու համար։</w:t>
      </w:r>
    </w:p>
    <w:p>
      <w:pPr/>
      <w:r>
        <w:rPr/>
        <w:t xml:space="preserve">11․Կողմերի միջև տեղեկությունը փոխանցվում է էլեկտրոնային եղանակով։</w:t>
      </w:r>
    </w:p>
    <w:p>
      <w:pPr/>
      <w:r>
        <w:rPr/>
        <w:t xml:space="preserve">12․Ընկերությունը պատասխանատվություն չի կրում վճարման ցուցակներում առկա անճշտությունների համար։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III. ՊԱՅՄԱՆԱԳՐԻ ԳԻՆԸ</w:t>
      </w:r>
    </w:p>
    <w:p>
      <w:pPr>
        <w:numPr>
          <w:ilvl w:val="0"/>
          <w:numId w:val="16"/>
        </w:numPr>
      </w:pPr>
      <w:r>
        <w:rPr/>
        <w:t xml:space="preserve">Սույն պայմանագրում նշված ծառայությունները ընկերությունը մատուցում է անվճար:</w:t>
      </w:r>
    </w:p>
    <w:p>
      <w:pPr/>
      <w:r>
        <w:rPr/>
        <w:t xml:space="preserve"> </w:t>
      </w:r>
      <w:r>
        <w:rPr>
          <w:b w:val="1"/>
          <w:bCs w:val="1"/>
        </w:rPr>
        <w:t xml:space="preserve">ՎԵՃԵՐԻ ԼՈՒԾՄԱՆ ԿԱՐԳԸ</w:t>
      </w:r>
    </w:p>
    <w:p>
      <w:pPr>
        <w:numPr>
          <w:ilvl w:val="0"/>
          <w:numId w:val="17"/>
        </w:numPr>
      </w:pPr>
      <w:r>
        <w:rPr/>
        <w:t xml:space="preserve">Սույն պայմանագրի կապակցությամբ վեճեր ու տարաձայնություններ առաջանալու դեպքում դրանք լուծվում են տասնհինգ օրվա ընթացքում` բանակցությունների միջոցով, իսկ բանակցությունների միջոցով համաձայնություն ձեռք չբերվելու դեպքում` ՀՀ օրենսդրությամբ սահմանված կարգով։</w:t>
      </w:r>
    </w:p>
    <w:p>
      <w:pPr>
        <w:numPr>
          <w:ilvl w:val="0"/>
          <w:numId w:val="17"/>
        </w:numPr>
      </w:pPr>
      <w:r>
        <w:rPr/>
        <w:t xml:space="preserve">Վեճերի ու տարաձայնությունների վերաբերյալ բանակցությունների կամ դատական գործընթացների ժամանակահատվածում կողմերը պարտավոր են գործել սույն պայմանագրի համաձայն։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ԵԶՐԱՓԱԿԻՉ ԴՐՈՒՅԹՆԵՐ</w:t>
      </w:r>
    </w:p>
    <w:p>
      <w:pPr>
        <w:numPr>
          <w:ilvl w:val="0"/>
          <w:numId w:val="18"/>
        </w:numPr>
      </w:pPr>
      <w:r>
        <w:rPr/>
        <w:t xml:space="preserve">Սույն պայմանագրում փոփոխություններ և լրացումներ կատարվում են կողմերի փոխադարձ համաձայնությամբ և ՀՀ օրենսդրությամբ սահմանված կարգով` լրացուցիչ համաձայնագրեր կնքելու միջոցով, որոնք կկազմեն սույն պայմանագրի անբաժանելի մասը:</w:t>
      </w:r>
    </w:p>
    <w:p>
      <w:pPr>
        <w:numPr>
          <w:ilvl w:val="0"/>
          <w:numId w:val="18"/>
        </w:numPr>
      </w:pPr>
      <w:r>
        <w:rPr/>
        <w:t xml:space="preserve">Սույն պայմանագիրը կազմված է հավասարազոր իրավաբանական ուժ ունեցող երկու օրինակից։ Յուրաքանչյուր կողմին տրվում է պայմանագրի մեկ օրինակ։</w:t>
      </w:r>
    </w:p>
    <w:p>
      <w:pPr>
        <w:numPr>
          <w:ilvl w:val="0"/>
          <w:numId w:val="18"/>
        </w:numPr>
      </w:pPr>
      <w:r>
        <w:rPr/>
        <w:t xml:space="preserve">Սույն պայմանագիրը լուծվում է կողմերի փոխադարձ համաձայնությամբ կամ պայմանագրի կատարումից միակողմանի հրաժարվելու դեպքում: Պայմանագիրը լուծելու վերաբերյալ առաջարկությունը մի կողմը մյուս կողմին ներկայացնում է պայմանագրի լուծման նախատեսվող ժամկետից առնվազն երկու ամիս առաջ:</w:t>
      </w:r>
    </w:p>
    <w:p>
      <w:pPr>
        <w:numPr>
          <w:ilvl w:val="0"/>
          <w:numId w:val="18"/>
        </w:numPr>
      </w:pPr>
      <w:r>
        <w:rPr/>
        <w:t xml:space="preserve">Պայմանագիրը լուծելու վերաբերյալ առաջարկությունը ներկայացնող կողմը պարտավոր է պայմանագիրը լուծելու մասին պատշաճ կարգով ծանուցել շահառուներին՝ պայմանագրի լուծման նախատեսվող ժամկետից առնվազն մեկ ամիս առաջ: Սույն պայմանագրի իմաստով պատշաճ կարգով ծանուցում է համարվում պայմանագիրը լուծելու մասին դիմումում նշված` հեռախոսահամարին հաղորդագրություն կամ էլեկտրոնային փոստի հասցեով տեղեկություն ուղարկելը կամ շահառուի բնակության վայրի հասցեով ծանուցելը:</w:t>
      </w:r>
    </w:p>
    <w:p>
      <w:pPr>
        <w:numPr>
          <w:ilvl w:val="0"/>
          <w:numId w:val="18"/>
        </w:numPr>
      </w:pPr>
      <w:r>
        <w:rPr/>
        <w:t xml:space="preserve">Սույն պայմանագիրը լուծվում է լուծման օրվա դրությամբ պայմանագրով ստանձնած պարտավորությունները կողմերի կողմից պատշաճ կատարվելու, ինչպես նաև չկատարվելու հետևանքով կամ ոչ պատշաճ կատարվելու հետևանքով պատճառված վնասները լրիվ հատուցելու պայմանով:</w:t>
      </w:r>
    </w:p>
    <w:p>
      <w:pPr>
        <w:numPr>
          <w:ilvl w:val="0"/>
          <w:numId w:val="18"/>
        </w:numPr>
      </w:pPr>
      <w:r>
        <w:rPr/>
        <w:t xml:space="preserve">Սույն պայմանագիրն իրավաբանական ուժ է ստանում այն կնքելու օրը։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ԿՈՂՄԵՐԻ ԳՏՆՎԵԼՈՒ ՎԱՅՐԵՐԸ, ԲԱՆԿԱՅԻՆ ՎԱՎԵՐԱՊԱՅՄԱՆՆԵՐԸ ԵՎ ՍՏՈՐԱԳՐՈՒԹՅՈՒՆՆԵՐԸ</w:t>
      </w:r>
    </w:p>
    <w:tbl>
      <w:tblGrid>
        <w:gridCol w:w="4575" w:type="dxa"/>
        <w:gridCol w:w="0" w:type="dxa"/>
        <w:gridCol w:w="5175" w:type="dxa"/>
      </w:tblGrid>
      <w:tblPr>
        <w:tblW w:w="0" w:type="dxa"/>
        <w:tblLayout w:type="autofit"/>
      </w:tblPr>
      <w:tr>
        <w:trPr/>
        <w:tc>
          <w:tcPr>
            <w:tcW w:w="45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աշխատանքի և սոցիալական հարցերի նախարարություն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________________________ ընկերություն</w:t>
            </w:r>
          </w:p>
          <w:p>
            <w:pPr/>
            <w:r>
              <w:rPr/>
              <w:t xml:space="preserve">Ընկերության անվանումը__________________</w:t>
            </w:r>
          </w:p>
        </w:tc>
      </w:tr>
      <w:tr>
        <w:trPr/>
        <w:tc>
          <w:tcPr>
            <w:tcW w:w="4575" w:type="dxa"/>
            <w:noWrap/>
          </w:tcPr>
          <w:p>
            <w:pPr/>
            <w:r>
              <w:rPr/>
              <w:t xml:space="preserve">Գտնվելու վայրը՝ ՀՀ, քաղ. Երևան,</w:t>
            </w:r>
            <w:br/>
            <w:r>
              <w:rPr/>
              <w:t xml:space="preserve"> 0010, Կառավարական տուն 3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75" w:type="dxa"/>
            <w:noWrap/>
          </w:tcPr>
          <w:p>
            <w:pPr/>
            <w:r>
              <w:rPr/>
              <w:t xml:space="preserve">Գտնվելու վայրը՝ _____________________</w:t>
            </w:r>
            <w:br/>
            <w:r>
              <w:rPr/>
              <w:t xml:space="preserve"> ________________________________________</w:t>
            </w:r>
          </w:p>
        </w:tc>
      </w:tr>
      <w:tr>
        <w:trPr/>
        <w:tc>
          <w:tcPr>
            <w:tcW w:w="4575" w:type="dxa"/>
            <w:noWrap/>
          </w:tcPr>
          <w:p>
            <w:pPr/>
            <w:r>
              <w:rPr/>
              <w:t xml:space="preserve">Հեռ. _______________________________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75" w:type="dxa"/>
            <w:noWrap/>
          </w:tcPr>
          <w:p>
            <w:pPr/>
            <w:r>
              <w:rPr/>
              <w:t xml:space="preserve">Հեռ. ____________________________________</w:t>
            </w:r>
          </w:p>
        </w:tc>
      </w:tr>
      <w:tr>
        <w:trPr/>
        <w:tc>
          <w:tcPr>
            <w:tcW w:w="4575" w:type="dxa"/>
            <w:noWrap/>
          </w:tcPr>
          <w:p>
            <w:pPr/>
            <w:r>
              <w:rPr/>
              <w:t xml:space="preserve">Էլ. փոստ ___________________________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75" w:type="dxa"/>
            <w:noWrap/>
          </w:tcPr>
          <w:p>
            <w:pPr/>
            <w:r>
              <w:rPr/>
              <w:t xml:space="preserve">Էլ. փոստ ________________________________</w:t>
            </w:r>
          </w:p>
        </w:tc>
      </w:tr>
      <w:tr>
        <w:trPr/>
        <w:tc>
          <w:tcPr>
            <w:tcW w:w="45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ՀՎՀՀ ________________________________</w:t>
            </w:r>
          </w:p>
          <w:p>
            <w:pPr/>
            <w:r>
              <w:rPr/>
              <w:t xml:space="preserve">________________________________</w:t>
            </w:r>
          </w:p>
          <w:p>
            <w:pPr/>
            <w:r>
              <w:rPr/>
              <w:t xml:space="preserve">Գլխավոր քարտուղար` _____________________________</w:t>
            </w:r>
          </w:p>
          <w:p>
            <w:pPr/>
            <w:r>
              <w:rPr/>
              <w:t xml:space="preserve">(անունը, ազգանունը)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ՀՎՀՀ __________________________________</w:t>
            </w:r>
          </w:p>
          <w:p>
            <w:pPr/>
            <w:r>
              <w:rPr/>
              <w:t xml:space="preserve">________________________________________</w:t>
            </w:r>
          </w:p>
          <w:p>
            <w:pPr/>
            <w:r>
              <w:rPr/>
              <w:t xml:space="preserve"> (համապատասխան լիազորություններով օժտված անձի պաշտոնը)</w:t>
            </w:r>
          </w:p>
          <w:p>
            <w:pPr/>
            <w:r>
              <w:rPr/>
              <w:t xml:space="preserve">____________________________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45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75" w:type="dxa"/>
            <w:noWrap/>
          </w:tcPr>
          <w:p>
            <w:pPr/>
            <w:r>
              <w:rPr/>
              <w:t xml:space="preserve">_ _ _ _ _ _ _ _ _ _ _ _ _ _ _ _ _ _ _ _ _ _ </w:t>
            </w:r>
            <w:br/>
            <w:r>
              <w:rPr/>
              <w:t xml:space="preserve"> (ստորագրությունը)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75" w:type="dxa"/>
            <w:noWrap/>
          </w:tcPr>
          <w:p>
            <w:pPr/>
            <w:r>
              <w:rPr/>
              <w:t xml:space="preserve">_ _ _ _ _ _ _ _ _ _ _ _ _ _ _ _ _ _ _ _ _ _</w:t>
            </w:r>
            <w:br/>
            <w:r>
              <w:rPr/>
              <w:t xml:space="preserve">  (ստորագրությունը)</w:t>
            </w:r>
          </w:p>
        </w:tc>
      </w:tr>
    </w:tbl>
    <w:p>
      <w:pPr/>
      <w:r>
        <w:rPr/>
        <w:t xml:space="preserve"> </w:t>
      </w:r>
    </w:p>
    <w:tbl>
      <w:tblGrid>
        <w:gridCol w:w="13320" w:type="dxa"/>
      </w:tblGrid>
      <w:tblPr>
        <w:tblW w:w="0" w:type="dxa"/>
        <w:tblLayout w:type="autofit"/>
      </w:tblPr>
      <w:tr>
        <w:trPr/>
        <w:tc>
          <w:tcPr>
            <w:tcW w:w="13320" w:type="dxa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3320" w:type="dxa"/>
            </w:tblGrid>
            <w:tblPr>
              <w:tblW w:w="0" w:type="dxa"/>
              <w:tblLayout w:type="autofit"/>
            </w:tblPr>
            <w:tr>
              <w:trPr/>
              <w:tc>
                <w:tcPr>
                  <w:tcW w:w="13320" w:type="dxa"/>
                  <w:noWrap/>
                </w:tcPr>
                <w:p>
                  <w:pPr/>
                  <w:r>
                    <w:rPr/>
                    <w:t xml:space="preserve">Ձև N2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ՏԵՂԵԿԱՏՎՈՒԹՅՈՒՆ</w:t>
                  </w:r>
                </w:p>
                <w:p>
                  <w:pPr/>
                  <w:r>
                    <w:rPr/>
                    <w:t xml:space="preserve"> Սոցիալական բնակարանային ֆոնդի ——————————————————  փոխհատուցման իրավունք ունեցող</w:t>
                  </w:r>
                </w:p>
                <w:p>
                  <w:pPr/>
                  <w:r>
                    <w:rPr/>
                    <w:t xml:space="preserve">                                                                                 (սոցիալական տան անվանումը)</w:t>
                  </w:r>
                </w:p>
                <w:p>
                  <w:pPr/>
                  <w:r>
                    <w:rPr/>
                    <w:t xml:space="preserve">շահառուների վերաբերյալ՝</w:t>
                  </w:r>
                </w:p>
                <w:tbl>
                  <w:tblGrid>
                    <w:gridCol w:w="0" w:type="dxa"/>
                    <w:gridCol w:w="0" w:type="dxa"/>
                    <w:gridCol w:w="0" w:type="dxa"/>
                    <w:gridCol w:w="0" w:type="dxa"/>
                    <w:gridCol w:w="0" w:type="dxa"/>
                    <w:gridCol w:w="0" w:type="dxa"/>
                    <w:gridCol w:w="1260" w:type="dxa"/>
                    <w:gridCol w:w="1320" w:type="dxa"/>
                    <w:gridCol w:w="1305" w:type="dxa"/>
                    <w:gridCol w:w="0" w:type="dxa"/>
                    <w:gridCol w:w="0" w:type="dxa"/>
                  </w:tblGrid>
                  <w:tblPr>
                    <w:tblW w:w="0" w:type="dxa"/>
                    <w:tblLayout w:type="autofit"/>
                  </w:tblP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NN</w:t>
                        </w:r>
                        <w:br/>
                        <w:r>
                          <w:rPr/>
                          <w:t xml:space="preserve"> ը/կ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Անունը, ազգանունը, հայրանունը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Անձը հաստատող փաստաթղթի համարը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Ծննդյան տարեթիվը, ամիսը, օրը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ՀԾՀ կամ ՀԾՀ չունենալու վերաբերյալ տեղեկանքի N, ամսաթիվը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Հասցեն(սոց. տան հասցեն)</w:t>
                        </w:r>
                      </w:p>
                    </w:tc>
                    <w:tc>
                      <w:tcPr>
                        <w:tcW w:w="1260" w:type="dxa"/>
                        <w:noWrap/>
                      </w:tcPr>
                      <w:p>
                        <w:pPr/>
                        <w:r>
                          <w:rPr/>
                          <w:t xml:space="preserve">Սոց. տուն ընդուն-</w:t>
                        </w:r>
                        <w:br/>
                        <w:r>
                          <w:rPr/>
                          <w:t xml:space="preserve"> վելու պայմա-նագրի N, ամսա-թիվը</w:t>
                        </w:r>
                      </w:p>
                    </w:tc>
                    <w:tc>
                      <w:tcPr>
                        <w:tcW w:w="1320" w:type="dxa"/>
                        <w:noWrap/>
                      </w:tcPr>
                      <w:p>
                        <w:pPr/>
                        <w:r>
                          <w:rPr/>
                          <w:t xml:space="preserve">Շահառուի գազամա-տակա-րարման հաշվառման քարտի համարա-նիշեր</w:t>
                        </w:r>
                      </w:p>
                    </w:tc>
                    <w:tc>
                      <w:tcPr>
                        <w:tcW w:w="1305" w:type="dxa"/>
                        <w:noWrap/>
                      </w:tcPr>
                      <w:p>
                        <w:pPr/>
                        <w:r>
                          <w:rPr/>
                          <w:t xml:space="preserve">Շահառուի էլեկտրական էներգիայի հաշվառման քարտի համարա-նիշեր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Շահառուի ջրամա-տակարարման հաշվառման քարտի համարա-նիշեր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Շահառուի համա-ձայնու-թյունը (կարգա-դրությունը) հավաստող ստորագրու-թյունը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1.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26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32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30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2.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26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32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30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Տեղեկությունը տրամադրվում է տարեկան մեկ անգամ, յուրաքանչյուր տարվա մինչև հունվարի 10-ը:</w:t>
                  </w:r>
                </w:p>
                <w:p>
                  <w:pPr/>
                  <w:r>
                    <w:rPr/>
                    <w:t xml:space="preserve"> տեղեկության մեջ պարտադիր նշել՝ սոցիալական տան կացարանները գազաֆիկացված են, թե ոչ։</w:t>
                  </w:r>
                </w:p>
                <w:p>
                  <w:pPr/>
                  <w:r>
                    <w:rPr/>
                    <w:t xml:space="preserve"> Սոցիալական տան պատասխանատու՝ —————————————— պաշտոնը, անուն, ազգանուն</w:t>
                  </w:r>
                </w:p>
                <w:p>
                  <w:pPr/>
                  <w:r>
                    <w:rPr/>
                    <w:t xml:space="preserve">                                                                       (ստորագրություն)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Ձև N 3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ՏԵՂԵԿԱՏՎՈՒԹՅՈՒՆ</w:t>
                  </w:r>
                </w:p>
                <w:p>
                  <w:pPr/>
                  <w:r>
                    <w:rPr/>
                    <w:t xml:space="preserve"> ՀՀ սոցիալական բնակարանային ֆոնդի կացարաններում բնակվող միայնակ կենսաթոշակառուների վերաբերյալ սույն տեղեկությունը ՀՀ աշխատանքի և սոցիալական հարցերի նախարարությունը տրամադրում է ————————————————————————————————————ը՝ ----------------------------------------ամսվա</w:t>
                  </w:r>
                </w:p>
                <w:p>
                  <w:pPr/>
                  <w:r>
                    <w:rPr/>
                    <w:t xml:space="preserve"> (ընկերության անվանումը)</w:t>
                  </w:r>
                </w:p>
                <w:p>
                  <w:pPr/>
                  <w:r>
                    <w:rPr/>
                    <w:t xml:space="preserve"> ———————————————————————վարձավճարը փոխհատուցելու</w:t>
                  </w:r>
                </w:p>
                <w:p>
                  <w:pPr/>
                  <w:r>
                    <w:rPr/>
                    <w:t xml:space="preserve"> (ծառայության անվանումը)</w:t>
                  </w:r>
                </w:p>
                <w:tbl>
                  <w:tblGrid>
                    <w:gridCol w:w="600" w:type="dxa"/>
                    <w:gridCol w:w="2580" w:type="dxa"/>
                    <w:gridCol w:w="1410" w:type="dxa"/>
                    <w:gridCol w:w="1320" w:type="dxa"/>
                    <w:gridCol w:w="1545" w:type="dxa"/>
                    <w:gridCol w:w="1245" w:type="dxa"/>
                    <w:gridCol w:w="1980" w:type="dxa"/>
                    <w:gridCol w:w="1605" w:type="dxa"/>
                  </w:tblGrid>
                  <w:tblPr>
                    <w:tblW w:w="0" w:type="dxa"/>
                    <w:tblLayout w:type="autofit"/>
                  </w:tblPr>
                  <w:tr>
                    <w:trPr/>
                    <w:tc>
                      <w:tcPr>
                        <w:tcW w:w="600" w:type="dxa"/>
                        <w:noWrap/>
                      </w:tcPr>
                      <w:p>
                        <w:pPr/>
                        <w:r>
                          <w:rPr/>
                          <w:t xml:space="preserve">NN</w:t>
                        </w:r>
                        <w:br/>
                        <w:r>
                          <w:rPr/>
                          <w:t xml:space="preserve"> ը/կ</w:t>
                        </w:r>
                      </w:p>
                    </w:tc>
                    <w:tc>
                      <w:tcPr>
                        <w:tcW w:w="2580" w:type="dxa"/>
                        <w:noWrap/>
                      </w:tcPr>
                      <w:p>
                        <w:pPr/>
                        <w:r>
                          <w:rPr/>
                          <w:t xml:space="preserve">Անունը, ազգանունը, հայրանունը</w:t>
                        </w:r>
                      </w:p>
                    </w:tc>
                    <w:tc>
                      <w:tcPr>
                        <w:tcW w:w="1410" w:type="dxa"/>
                        <w:noWrap/>
                      </w:tcPr>
                      <w:p>
                        <w:pPr/>
                        <w:r>
                          <w:rPr/>
                          <w:t xml:space="preserve">Անձը հաստատող փաստաթղթի համարը</w:t>
                        </w:r>
                      </w:p>
                    </w:tc>
                    <w:tc>
                      <w:tcPr>
                        <w:tcW w:w="1320" w:type="dxa"/>
                        <w:noWrap/>
                      </w:tcPr>
                      <w:p>
                        <w:pPr/>
                        <w:r>
                          <w:rPr/>
                          <w:t xml:space="preserve">Ծննդյան տարեթիվը, ամիսը, օրը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ՀԾՀ կամ ՀԾՀ չունենալու վերաբերյալ տեղեկանքի N, ամսաթիվը</w:t>
                        </w:r>
                      </w:p>
                    </w:tc>
                    <w:tc>
                      <w:tcPr>
                        <w:tcW w:w="1245" w:type="dxa"/>
                        <w:noWrap/>
                      </w:tcPr>
                      <w:p>
                        <w:pPr/>
                        <w:r>
                          <w:rPr/>
                          <w:t xml:space="preserve">Հասցեն (սոց. Տան անվանումը և հասցեն)</w:t>
                        </w:r>
                      </w:p>
                    </w:tc>
                    <w:tc>
                      <w:tcPr>
                        <w:tcW w:w="1980" w:type="dxa"/>
                        <w:noWrap/>
                      </w:tcPr>
                      <w:p>
                        <w:pPr/>
                        <w:r>
                          <w:rPr/>
                          <w:t xml:space="preserve">Շահառուի՝ համապատասխան ծառայության հաշվառման քարտի համարանիշը</w:t>
                        </w:r>
                      </w:p>
                    </w:tc>
                    <w:tc>
                      <w:tcPr>
                        <w:tcW w:w="1605" w:type="dxa"/>
                        <w:noWrap/>
                      </w:tcPr>
                      <w:p>
                        <w:pPr/>
                        <w:r>
                          <w:rPr/>
                          <w:t xml:space="preserve">Նշել՝ կացարանը գազաֆիկացված է, թե՝ ոչ</w:t>
                        </w:r>
                      </w:p>
                      <w:p>
                        <w:pPr/>
                        <w:r>
                          <w:rPr/>
                          <w:t xml:space="preserve">Այո/ոչ</w:t>
                        </w:r>
                      </w:p>
                    </w:tc>
                  </w:tr>
                  <w:tr>
                    <w:trPr/>
                    <w:tc>
                      <w:tcPr>
                        <w:tcW w:w="600" w:type="dxa"/>
                        <w:noWrap/>
                      </w:tcPr>
                      <w:p>
                        <w:pPr/>
                        <w:r>
                          <w:rPr/>
                          <w:t xml:space="preserve">1․</w:t>
                        </w:r>
                      </w:p>
                    </w:tc>
                    <w:tc>
                      <w:tcPr>
                        <w:tcW w:w="258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41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32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24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98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0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600" w:type="dxa"/>
                        <w:noWrap/>
                      </w:tcPr>
                      <w:p>
                        <w:pPr/>
                        <w:r>
                          <w:rPr/>
                          <w:t xml:space="preserve">2․</w:t>
                        </w:r>
                      </w:p>
                    </w:tc>
                    <w:tc>
                      <w:tcPr>
                        <w:tcW w:w="258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41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32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24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98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0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Տեղեկությունը տրամադրվում է մինչև հունվարի 20-ը:</w:t>
                  </w:r>
                </w:p>
                <w:p>
                  <w:pPr/>
                  <w:r>
                    <w:rPr/>
                    <w:t xml:space="preserve"> Տեղեկությունը հաստատված է ՀՀ աշխատանքի և սոցիալական հարցերի նախարարի կողմից</w:t>
                  </w:r>
                </w:p>
                <w:p>
                  <w:pPr/>
                  <w:r>
                    <w:rPr/>
                    <w:t xml:space="preserve"> Նախարարության գլխավոր քարտուղար՝—————————————————— անուն, ազգանուն</w:t>
                  </w:r>
                </w:p>
                <w:p>
                  <w:pPr/>
                  <w:r>
                    <w:rPr/>
                    <w:t xml:space="preserve">(ստորագրություն)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Ձև N 4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ՏԵՂԵԿՈՒԹՅՈՒՆ</w:t>
                  </w:r>
                </w:p>
                <w:p>
                  <w:pPr/>
                  <w:r>
                    <w:rPr/>
                    <w:t xml:space="preserve"> Սույն տեղեկությունը ------------------------------------------------------------------------ ընկերությունը ներկայացնում է</w:t>
                  </w:r>
                </w:p>
                <w:p>
                  <w:pPr/>
                  <w:r>
                    <w:rPr/>
                    <w:t xml:space="preserve"> (ընկերության անվանումը)</w:t>
                  </w:r>
                </w:p>
                <w:p>
                  <w:pPr/>
                  <w:r>
                    <w:rPr/>
                    <w:t xml:space="preserve">ՀՀ աշխատանքի և սոցիալական հարցերի նախարարությանը՝ ՀՀ սոցիալական բնակարանային ֆոնդի կացարաններում բնակվող միայնակ կենսաթոշակառուների՝ ——————— ամսվա ——————————— ծառայության վարձավճարի</w:t>
                  </w:r>
                </w:p>
                <w:p>
                  <w:pPr/>
                  <w:r>
                    <w:rPr/>
      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(ծառայության անվանումը)</w:t>
                  </w:r>
                </w:p>
                <w:p>
                  <w:pPr/>
                  <w:r>
                    <w:rPr/>
                    <w:t xml:space="preserve">փոխհատուցման գումարների վերաբերյալ։</w:t>
                  </w:r>
                </w:p>
                <w:tbl>
                  <w:tblGrid>
                    <w:gridCol w:w="660" w:type="dxa"/>
                    <w:gridCol w:w="2880" w:type="dxa"/>
                    <w:gridCol w:w="1440" w:type="dxa"/>
                    <w:gridCol w:w="1365" w:type="dxa"/>
                    <w:gridCol w:w="1650" w:type="dxa"/>
                    <w:gridCol w:w="1560" w:type="dxa"/>
                    <w:gridCol w:w="1740" w:type="dxa"/>
                  </w:tblGrid>
                  <w:tblPr>
                    <w:tblW w:w="0" w:type="dxa"/>
                    <w:tblLayout w:type="autofit"/>
                  </w:tblPr>
                  <w:tr>
                    <w:trPr/>
                    <w:tc>
                      <w:tcPr>
                        <w:tcW w:w="660" w:type="dxa"/>
                        <w:noWrap/>
                      </w:tcPr>
                      <w:p>
                        <w:pPr/>
                        <w:r>
                          <w:rPr/>
                          <w:t xml:space="preserve">NN</w:t>
                        </w:r>
                        <w:br/>
                        <w:r>
                          <w:rPr/>
                          <w:t xml:space="preserve"> ը/կ</w:t>
                        </w:r>
                      </w:p>
                    </w:tc>
                    <w:tc>
                      <w:tcPr>
                        <w:tcW w:w="2880" w:type="dxa"/>
                        <w:noWrap/>
                      </w:tcPr>
                      <w:p>
                        <w:pPr/>
                        <w:r>
                          <w:rPr/>
                          <w:t xml:space="preserve">Անունը, ազգանունը, հայրանունը</w:t>
                        </w:r>
                      </w:p>
                    </w:tc>
                    <w:tc>
                      <w:tcPr>
                        <w:tcW w:w="1440" w:type="dxa"/>
                        <w:noWrap/>
                      </w:tcPr>
                      <w:p>
                        <w:pPr/>
                        <w:r>
                          <w:rPr/>
                          <w:t xml:space="preserve">Անձը հաստատող փաստաթղթի համարը</w:t>
                        </w:r>
                      </w:p>
                    </w:tc>
                    <w:tc>
                      <w:tcPr>
                        <w:tcW w:w="1365" w:type="dxa"/>
                        <w:noWrap/>
                      </w:tcPr>
                      <w:p>
                        <w:pPr/>
                        <w:r>
                          <w:rPr/>
                          <w:t xml:space="preserve">Հասցեն (սոց. տան հասցեն)</w:t>
                        </w:r>
                      </w:p>
                    </w:tc>
                    <w:tc>
                      <w:tcPr>
                        <w:tcW w:w="165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/>
                          <w:t xml:space="preserve">-----------------------ծառայության՝ շահառուի հաշվառման քարտի համարանիշը</w:t>
                        </w:r>
                      </w:p>
                    </w:tc>
                    <w:tc>
                      <w:tcPr>
                        <w:tcW w:w="1560" w:type="dxa"/>
                        <w:noWrap/>
                      </w:tcPr>
                      <w:p>
                        <w:pPr/>
                        <w:r>
                          <w:rPr/>
                          <w:t xml:space="preserve">---------------------- ծառայության դիմաց ամսվա ծախսը կազմել է</w:t>
                        </w:r>
                      </w:p>
                      <w:p>
                        <w:pPr/>
                        <w:r>
                          <w:rPr/>
                          <w:t xml:space="preserve">(ՀՀ դրամ)</w:t>
                        </w:r>
                      </w:p>
                    </w:tc>
                    <w:tc>
                      <w:tcPr>
                        <w:tcW w:w="1740" w:type="dxa"/>
                        <w:noWrap/>
                      </w:tcPr>
                      <w:p>
                        <w:pPr/>
                        <w:r>
                          <w:rPr/>
                          <w:t xml:space="preserve">Շահառուի հաշվին փոխհատուցվել է</w:t>
                        </w:r>
                      </w:p>
                      <w:p>
                        <w:pPr/>
                        <w:r>
                          <w:rPr/>
                          <w:t xml:space="preserve">(ՀՀ դրամ)</w:t>
                        </w:r>
                      </w:p>
                    </w:tc>
                  </w:tr>
                  <w:tr>
                    <w:trPr/>
                    <w:tc>
                      <w:tcPr>
                        <w:tcW w:w="66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288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44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36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5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6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74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Տեղեկությունը տրամադրվում է յուրաքանչյուր ամսվա վերջին օրը։</w:t>
                  </w:r>
                </w:p>
                <w:p>
                  <w:pPr/>
                  <w:r>
                    <w:rPr/>
                    <w:t xml:space="preserve"> -----------------------------------------  ընկերության պատասխանատու անձ՝ ————————պաշտոնը, անուն, ազգանուն</w:t>
                  </w:r>
                </w:p>
              </w:tc>
            </w:tr>
            <w:tr>
              <w:trPr/>
              <w:tc>
                <w:tcPr>
                  <w:tcW w:w="13320" w:type="dxa"/>
                  <w:noWrap/>
                </w:tcPr>
                <w:p>
                  <w:pPr/>
                  <w:r>
                    <w:rPr/>
                    <w:t xml:space="preserve">  (ընկերության անվանումը)                                                                                             (ստորագրություն)</w:t>
                  </w:r>
                </w:p>
              </w:tc>
            </w:tr>
            <w:tr>
              <w:trPr/>
              <w:tc>
                <w:tcPr>
                  <w:tcW w:w="1332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68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A347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C7EC8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E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1E40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FC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6045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4E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3323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E9525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14C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94872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7F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04091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5A1A1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5E6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0B2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D85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2026-04-01T09:44:42+04:00</dcterms:created>
  <dcterms:modified xsi:type="dcterms:W3CDTF">2026-04-01T09:44:42+04:00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