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ՄԱՐՏԻ 19-Ի N596-Ն ՈՐՈՇՄԱՆ ՄԵՋ ԼՐԱՑՈՒՄ ԿԱՏԱՐԵԼՈՒ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2017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 _______________-ի N _________-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19-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N596-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 «Քաղաքաշինության մասին» Հայաստանի Հանրապետության օրենքի 10-րդ,  10.1-ին հոդվածներին համապատասխան`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N 5 հավելվածի N 1-2 ձևի «Նախագծային պահանջները» բաժինը լրացնել նոր 18.1. կետով` հետևյալ բովանդակությամբ.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«18.1 Կառույցի ճարտարապետական լուծումներ. (Լրացվում է ՀՀ ԿԱ քաղաքաշինության պետական կոմիտեի նախագահի հրամանով հաստատված ուղեցույցի դրույթներին համապատասխան)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____________________________________________</w:t>
            </w:r>
          </w:p>
          <w:p>
            <w:pPr/>
            <w:r>
              <w:rPr/>
              <w:t xml:space="preserve">(առաջարկություններ ճակատների ձևավորման, տանիքների,</w:t>
            </w:r>
          </w:p>
          <w:p>
            <w:pPr/>
            <w:r>
              <w:rPr/>
              <w:t xml:space="preserve">արտաքին դռների, պատուհանների համամասնությունների և գունային լուծումների վերաբերյալ)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34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2026-03-31T22:07:58+04:00</dcterms:created>
  <dcterms:modified xsi:type="dcterms:W3CDTF">2026-03-31T22:07:58+04:00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