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ԵՎ ԳԼԽԱՎՈՐ ԼԻՑԵՆԶԻԱՅԻ ՁԵՎԸ ՍԱՀԱՄՆԵԼՈՒ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 Ո Ր Ո Շ ՈՒ Մ</w:t>
      </w:r>
    </w:p>
    <w:p>
      <w:pPr>
        <w:jc w:val="center"/>
      </w:pPr>
      <w:r>
        <w:rPr/>
        <w:t xml:space="preserve">______ թվականի N  -Ն</w:t>
      </w:r>
    </w:p>
    <w:p>
      <w:pPr>
        <w:jc w:val="center"/>
      </w:pPr>
      <w:r>
        <w:rPr/>
        <w:t xml:space="preserve">  </w:t>
      </w:r>
    </w:p>
    <w:p>
      <w:pPr>
        <w:jc w:val="center"/>
      </w:pPr>
      <w:r>
        <w:rPr>
          <w:b w:val="1"/>
          <w:bCs w:val="1"/>
        </w:rPr>
        <w:t xml:space="preserve">ՀԱՅԱՍՏԱՆԻ ՀԱՆՐԱՊԵՏՈՒԹՅՈՒՆ ՑԵՄԵՆՏԻ ՆԵՐՄՈՒԾՄԱՆ  ԺԱՄԱՆԱԿԱՎՈՐ ՍԱՀՄԱՆԱՓԱԿՈՒՄ ԿԻՐԱՌԵԼՈՒ, ՆԵՐՄՈՒԾՄԱՆ ԼԻՑԵՆԶԱՎՈՐՄԱՆ ԸՆԹԱՑԱԿԱՐԳԸ ԵՎ ԳԼԽԱՎՈՐ ԼԻՑԵՆԶԻԱՅԻ ՁԵՎԸ ՍԱՀԱՄՆԵԼՈՒ ՄԱՍԻՆ   </w:t>
      </w:r>
    </w:p>
    <w:p>
      <w:pPr>
        <w:jc w:val="center"/>
      </w:pPr>
      <w:r>
        <w:rPr/>
        <w:t xml:space="preserve"> </w:t>
      </w:r>
    </w:p>
    <w:p>
      <w:pPr/>
      <w:r>
        <w:rPr/>
        <w:t xml:space="preserve">Հիմք ընդունելով «Առևտրի և ծառայությունների մասին» օրենքի 2-րդ հոդվածի 1-ին մասի 25-րդ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որ</w:t>
      </w:r>
    </w:p>
    <w:p>
      <w:pPr/>
      <w:r>
        <w:rPr/>
        <w:t xml:space="preserve">1) 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ներմուծումն իրականացվում է լիցենզիաների հիման վրա:</w:t>
      </w:r>
    </w:p>
    <w:p>
      <w:pPr/>
      <w:r>
        <w:rPr/>
        <w:t xml:space="preserve">2) Սույն կետի 1-ին ենթակետում նշված ապրանքների ներմուծման նպատակով տրամադրվում է միայն գլխավոր լիցենզիա։</w:t>
      </w:r>
    </w:p>
    <w:p>
      <w:pPr/>
      <w:r>
        <w:rPr/>
        <w:t xml:space="preserve">3) Սույն կետի 1-ին ենթակետում նշված ապրանքների ներմուծման նպատակով գլխավոր լիցենզիան տրամադրվում է յուրաքանչյուր մինչև հարյուր տոննայի համար:</w:t>
      </w:r>
    </w:p>
    <w:p>
      <w:pPr>
        <w:numPr>
          <w:ilvl w:val="0"/>
          <w:numId w:val="3"/>
        </w:numPr>
      </w:pPr>
      <w:r>
        <w:rPr/>
        <w:t xml:space="preserve">Գլխավոր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և գլխավոր լիցենզիայի ձևը` համաձայն Հավելվածի։</w:t>
      </w:r>
    </w:p>
    <w:p>
      <w:pPr>
        <w:numPr>
          <w:ilvl w:val="0"/>
          <w:numId w:val="4"/>
        </w:numPr>
      </w:pPr>
      <w:r>
        <w:rPr/>
        <w:t xml:space="preserve">Սույն որոշումն ուժի մեջ է մտնում պաշտոնական հրապարակմանը հաջորդող օրը և գործում է վեց ամիս ժամկետով։</w:t>
      </w:r>
    </w:p>
    <w:p>
      <w:pPr/>
      <w:r>
        <w:rPr/>
        <w:t xml:space="preserve"> </w:t>
      </w:r>
    </w:p>
    <w:p>
      <w:pPr/>
      <w:r>
        <w:rPr/>
        <w:t xml:space="preserve"> </w:t>
      </w:r>
    </w:p>
    <w:p>
      <w:pPr/>
      <w:r>
        <w:rPr/>
        <w:t xml:space="preserve"> </w:t>
      </w:r>
    </w:p>
    <w:p>
      <w:pPr/>
      <w:r>
        <w:rPr/>
        <w:t xml:space="preserve">ՀԱՅԱՍՏԱՆԻ ՀԱՆՐԱՊԵՏՈՒԹՅԱՆ</w:t>
      </w:r>
      <w:br/>
      <w:r>
        <w:rPr/>
        <w:t xml:space="preserve">    ՎԱՐՉԱՊԵՏԻ ՊԱՇՏՈՆԱԿԱՏԱՐ                                                   Ն.ՓԱՇԻՆՅԱՆ</w:t>
      </w:r>
    </w:p>
    <w:p>
      <w:pPr/>
      <w:r>
        <w:rPr/>
        <w:t xml:space="preserve"> </w:t>
      </w:r>
    </w:p>
    <w:p>
      <w:pPr>
        <w:jc w:val="end"/>
      </w:pPr>
      <w:r>
        <w:rPr/>
        <w:t xml:space="preserve"> Հավելված </w:t>
      </w:r>
      <w:br/>
      <w:r>
        <w:rPr/>
        <w:t xml:space="preserve"> ՀՀ կառավարության  թվականի</w:t>
      </w:r>
      <w:br/>
      <w:r>
        <w:rPr/>
        <w:t xml:space="preserve"> -ի N -Ն որոշման</w:t>
      </w:r>
    </w:p>
    <w:p>
      <w:pPr>
        <w:jc w:val="end"/>
      </w:pPr>
      <w:r>
        <w:rPr/>
        <w:t xml:space="preserve"> </w:t>
      </w:r>
    </w:p>
    <w:p>
      <w:pPr>
        <w:jc w:val="center"/>
      </w:pPr>
      <w:r>
        <w:rPr/>
        <w:t xml:space="preserve">Ը Ն Թ Ա Ց Ա Կ Ա Ր Գ</w:t>
      </w:r>
    </w:p>
    <w:p>
      <w:pPr>
        <w:jc w:val="center"/>
      </w:pPr>
      <w:r>
        <w:rPr/>
        <w:t xml:space="preserve">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r>
        <w:rPr/>
        <w:t xml:space="preserve"> </w:t>
      </w:r>
    </w:p>
    <w:p>
      <w:pPr>
        <w:numPr>
          <w:ilvl w:val="0"/>
          <w:numId w:val="5"/>
        </w:numPr>
      </w:pPr>
      <w:r>
        <w:rPr/>
        <w:t xml:space="preserve">ԸՆԴՀԱՆՈՒՐ ԴՐՈՒՅԹՆԵՐ</w:t>
      </w:r>
    </w:p>
    <w:p>
      <w:pPr>
        <w:numPr>
          <w:ilvl w:val="0"/>
          <w:numId w:val="5"/>
        </w:numPr>
      </w:pPr>
      <w:r>
        <w:rPr/>
        <w:t xml:space="preserve">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6"/>
        </w:numPr>
      </w:pPr>
      <w:r>
        <w:rPr/>
        <w:t xml:space="preserve">ՀԻՄՆԱԿԱՆ ՀԱՍԿԱՑՈՒԹՅՈՒՆՆԵՐԸ</w:t>
      </w:r>
    </w:p>
    <w:p>
      <w:pPr>
        <w:numPr>
          <w:ilvl w:val="0"/>
          <w:numId w:val="6"/>
        </w:numPr>
      </w:pPr>
      <w:r>
        <w:rPr/>
        <w:t xml:space="preserve">Սույն ընթացակարգում օգտագործվում են հետևյալ հասկացությունները՝</w:t>
      </w:r>
    </w:p>
    <w:p>
      <w:pPr/>
      <w:r>
        <w:rPr/>
        <w:t xml:space="preserve">1) գլխավոր լիցենզիա՝ լիցենզիա, որը տալիս է արտաքին առևտրային գործունեության մասնակցին իրավունք, լիցենզավորման ենթակա ցեմենտի ներմուծման համար՝ լիցենզիայով նախատեսված քանակով.</w:t>
      </w:r>
    </w:p>
    <w:p>
      <w:pPr/>
      <w:r>
        <w:rPr/>
        <w:t xml:space="preserve">2) ապրանք` ԵԱՏՄ ԱՏԳ ԱԱ 2523 (բացառությամբ՝ ԱՏԳ ԱԱ 2523210000 ծածկագրին դասվող) ապրանքային դիրքի ծածկագրերին դասվող ապրանքներ.</w:t>
      </w:r>
    </w:p>
    <w:p>
      <w:pPr/>
      <w:r>
        <w:rPr/>
        <w:t xml:space="preserve">3)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 4)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գլխավոր լիցենզիայի ձևակերպման նպատակով:</w:t>
      </w:r>
    </w:p>
    <w:p>
      <w:pPr/>
      <w:r>
        <w:rPr/>
        <w:t xml:space="preserve"> </w:t>
      </w:r>
    </w:p>
    <w:p>
      <w:pPr/>
      <w:r>
        <w:rPr/>
        <w:t xml:space="preserve"> III. ՆԵՐՄՈՒԾՄԱՆ ԳԼԽԱՎՈՐ ԼԻՑԵՆԶԻԱ ՍՏԱՆԱԼՈՒ ՀԱՄԱՐ ԱՆՀՐԱԺԵՇՏ ՓԱՍՏԱԹՂԹԵՐԸ</w:t>
      </w:r>
    </w:p>
    <w:p>
      <w:pPr>
        <w:numPr>
          <w:ilvl w:val="0"/>
          <w:numId w:val="7"/>
        </w:numPr>
      </w:pPr>
      <w:r>
        <w:rPr/>
        <w:t xml:space="preserve">Գլխավոր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8"/>
        </w:numPr>
      </w:pPr>
      <w:r>
        <w:rPr/>
        <w:t xml:space="preserve">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8"/>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կարող է տրամադրվել կամ մերժվել գլխավոր լիցենզիայի տրամադրումը:</w:t>
      </w:r>
    </w:p>
    <w:p>
      <w:pPr>
        <w:numPr>
          <w:ilvl w:val="0"/>
          <w:numId w:val="8"/>
        </w:numPr>
      </w:pPr>
      <w:r>
        <w:rPr/>
        <w:t xml:space="preserve">Գլխավոր լիցենզիան տրամադրվում է յուրաքանչյուր մինչև հարյուր տոննայի համար համաձայն N 2 ձևի:</w:t>
      </w:r>
    </w:p>
    <w:p>
      <w:pPr>
        <w:numPr>
          <w:ilvl w:val="0"/>
          <w:numId w:val="8"/>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8"/>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գլխավոր լիցենզիայի տրամադրման ժամկետը երկարաձգվում է ևս մինչև 2 աշխատանքային օրով։</w:t>
      </w:r>
    </w:p>
    <w:p>
      <w:pPr>
        <w:numPr>
          <w:ilvl w:val="0"/>
          <w:numId w:val="8"/>
        </w:numPr>
      </w:pPr>
      <w:r>
        <w:rPr/>
        <w:t xml:space="preserve">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8"/>
        </w:numPr>
      </w:pPr>
      <w:r>
        <w:rPr/>
        <w:t xml:space="preserve">Գլխավոր լիցենզիա գործողության ժամկետի ավարտ է համարվում սույն որոշման 4-րդ կետով սահմանված ժամետի ավարտը:</w:t>
      </w:r>
    </w:p>
    <w:p>
      <w:pPr>
        <w:numPr>
          <w:ilvl w:val="0"/>
          <w:numId w:val="8"/>
        </w:numPr>
      </w:pPr>
      <w:r>
        <w:rPr/>
        <w:t xml:space="preserve">Չի թույլատրվում տրամադրված գլխավոր լիցենզիաների մեջ փոփոխությունների կատարում, այդ թվում՝ տեխնիկական բնույթի:</w:t>
      </w:r>
    </w:p>
    <w:p>
      <w:pPr>
        <w:numPr>
          <w:ilvl w:val="0"/>
          <w:numId w:val="8"/>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տրամադրված գլխավոր լիցենզիայի գործողությունը դադարեցնելու նպատակով, իսկ նոր գլխավոր լիցենզիա ստանալու համար Լիազոր մարմին ներկայացնում է սույն ընթացակարգի 3-րդ կետով սահմանված պահանջներին համապատասխան փաստաթղթերը՝ կցելով նաև նշված փոփոխությունները հավաստող փաստաթղթերը:</w:t>
      </w:r>
    </w:p>
    <w:p>
      <w:pPr/>
      <w:r>
        <w:rPr/>
        <w:t xml:space="preserve"> </w:t>
      </w:r>
    </w:p>
    <w:p>
      <w:pPr>
        <w:numPr>
          <w:ilvl w:val="0"/>
          <w:numId w:val="9"/>
        </w:numPr>
      </w:pPr>
      <w:r>
        <w:rPr/>
        <w:t xml:space="preserve">ՆԵՐՄՈՒԾՄԱՆ ԺԱՄԱՆԱԿ ԳԼԽԱՎՈՐ ԼԻՑԵՆԶԻԱՅԻ ԿԱՍԵՑՄԱՆ ԿԱՄ ԴԱԴԱՐԵՑՄԱՆ ՀԻՄՔԵՐԸ</w:t>
      </w:r>
    </w:p>
    <w:p>
      <w:pPr>
        <w:numPr>
          <w:ilvl w:val="0"/>
          <w:numId w:val="9"/>
        </w:numPr>
      </w:pPr>
      <w:r>
        <w:rPr/>
        <w:t xml:space="preserve">Լիազոր մարմինը գլխավոր լիցենզիայի գործողությունը կասեցնելու մասին որոշում կայացնելու իրավունք ունի հետևյալ դեպքերում՝</w:t>
      </w:r>
    </w:p>
    <w:p>
      <w:pPr/>
      <w:r>
        <w:rPr/>
        <w:t xml:space="preserve">1) գլխավոր լիցենզիա ստացած անձի կողմից գլխավոր լիցենզիա ստանալու համար հիմք հանդիսացող փաստաթղթերում փոփոխությունների մասին Լիազոր մարմնին ժամանակին չհայտնելու դեպքում.</w:t>
      </w:r>
    </w:p>
    <w:p>
      <w:pPr/>
      <w:r>
        <w:rPr/>
        <w:t xml:space="preserve">2) գլխավոր լիցենզիայի պահանջների ու պայմանների, լիցենզավորման ենթակա գործունեությունը կարգավորող օրենսդրության պահանջների խախտման դեպքում․</w:t>
      </w:r>
    </w:p>
    <w:p>
      <w:pPr/>
      <w:r>
        <w:rPr/>
        <w:t xml:space="preserve">3) գլխավոր լիցենզիա ստացած անձի դիմումի համաձայն.</w:t>
      </w:r>
    </w:p>
    <w:p>
      <w:pPr>
        <w:numPr>
          <w:ilvl w:val="0"/>
          <w:numId w:val="10"/>
        </w:numPr>
      </w:pPr>
      <w:r>
        <w:rPr/>
        <w:t xml:space="preserve">Լիազոր մարմինը գլխավոր լիցենզիայի գործողությունը դադարեցնելու մասին որոշում կայացնելու իրավունք ունի հետևյալ դեպքերում՝</w:t>
      </w:r>
    </w:p>
    <w:p>
      <w:pPr/>
      <w:r>
        <w:rPr/>
        <w:t xml:space="preserve">1) գլխավոր լիցենզիա ստացած անձի կողմից գլխավոր լիցենզիան օրենքով չնախատեսված դեպքերում այլ անձի օգտագործման տալու, գրավ դնելու կամ օտարելու դեպքում․</w:t>
      </w:r>
    </w:p>
    <w:p>
      <w:pPr/>
      <w:r>
        <w:rPr/>
        <w:t xml:space="preserve">2) գլխավոր լիցենզիա ստանալու համար ներկայացված փաստաթղթերում գլխավոր լիցենզիան տալու համար էական նշանակություն ունեցող կեղծ կամ խեղաթյուրված տեղեկատվություն հայտնաբերելու դեպքում.</w:t>
      </w:r>
    </w:p>
    <w:p>
      <w:pPr/>
      <w:r>
        <w:rPr/>
        <w:t xml:space="preserve">3) գլխավոր լիցենզիայի գործողության կասեցման ժամկետում կասեցման պահանջների խախտմամբ կասեցված գործունեություն կամ այդ գործունեության առանձին գործառույթ կամ գլխավոր լիցենզիայով վերապահված առանձին գործողություն իրականացնելու դեպքում.</w:t>
      </w:r>
    </w:p>
    <w:p>
      <w:pPr/>
      <w:r>
        <w:rPr/>
        <w:t xml:space="preserve">4) լիցենզավորված անձի դիմումի համաձայն.</w:t>
      </w:r>
    </w:p>
    <w:p>
      <w:pPr/>
      <w:r>
        <w:rPr/>
        <w:t xml:space="preserve">5)  գլխավոր լիցենզիայի ժամկետը լրանալու դեպքում.</w:t>
      </w:r>
    </w:p>
    <w:p>
      <w:pPr>
        <w:numPr>
          <w:ilvl w:val="0"/>
          <w:numId w:val="11"/>
        </w:numPr>
      </w:pPr>
      <w:r>
        <w:rPr/>
        <w:t xml:space="preserve">Գլխավոր լիցենզիայի գործողությունը դադարեցվում կամ կասեցվում է դրա մասին Լիազոր մարմնի կողմից որոշում կայացվելու դեպքում «Վարչարարության հիմունքների և վարչական վարույթի մասին» օրենքի 59-րդ հոդվածով սահմանված կարգով։ Կասեցված գլխավոր լիցենզիայի գործողությունը Լիազոր մարմնի կողմից պետք է վերականգնվի դրա գործողության կասեցման հիմքերը վերանալու հաջորդ աշխատանքային օրը։</w:t>
      </w:r>
    </w:p>
    <w:p>
      <w:pPr>
        <w:numPr>
          <w:ilvl w:val="0"/>
          <w:numId w:val="11"/>
        </w:numPr>
      </w:pPr>
      <w:r>
        <w:rPr/>
        <w:t xml:space="preserve">Գլխավոր լիցենզիայի տրամադրումը, կասեցումը և դադարեցումը ստորագրում է Լիազոր մարմնի ղեկավարը կամ նրա կողմից Լիազորված պաշտոնատար անձը։</w:t>
      </w:r>
    </w:p>
    <w:p>
      <w:pPr>
        <w:numPr>
          <w:ilvl w:val="0"/>
          <w:numId w:val="11"/>
        </w:numPr>
      </w:pPr>
      <w:r>
        <w:rPr/>
        <w:t xml:space="preserve">Գլխավոր լիցենզիայի կորստի դեպքում Լիազորված մարմինը, հայտատուի գրավոր դիմումի հիման վրա տրամադրում է գլխավոր լիցենզիայի կրկնօրինակը, որը պարունակում է «Կրկնօրինակ» գրառումը։ Դիմումը, որով պարզաբանվում են գլխավոր լիցենզիայի կորստի պատճառները և հանգամանքները, շարադրվում է ազատ ձևով։</w:t>
      </w:r>
    </w:p>
    <w:p>
      <w:pPr>
        <w:numPr>
          <w:ilvl w:val="0"/>
          <w:numId w:val="11"/>
        </w:numPr>
      </w:pPr>
      <w:r>
        <w:rPr/>
        <w:t xml:space="preserve">Գլխավոր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u w:val="single"/>
        </w:rPr>
        <w:t xml:space="preserve"> </w:t>
      </w:r>
    </w:p>
    <w:p>
      <w:pPr/>
      <w:r>
        <w:rPr>
          <w:u w:val="single"/>
        </w:rPr>
        <w:t xml:space="preserve">Ձև N 1 </w:t>
      </w:r>
    </w:p>
    <w:p>
      <w:pPr/>
      <w:r>
        <w:rPr/>
        <w:t xml:space="preserve"> </w:t>
      </w:r>
    </w:p>
    <w:p>
      <w:pPr/>
      <w:r>
        <w:rPr/>
        <w:t xml:space="preserve">Հ Ա Յ Տ</w:t>
      </w:r>
    </w:p>
    <w:p>
      <w:pPr/>
      <w:r>
        <w:rPr/>
        <w:t xml:space="preserve">ԵԱՏՄ ԱՏԳ ԱԱ 2523 (ԲԱՑԱՌՈՒԹՅԱՄԲ 2523210000 ԱՊՐԱՆՔԱՅԻՆ ԴԻՐՔԻՆ ԴԱՍՎՈՂ ԾԱԾԿԱԳՐԻ) ԱՊՐԱՆՔԱՅԻՆ ԴԻՐՔԻ ԾԱԾԿԱԳՐԻՆ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  ԳԼԽԱՎՈՐ ԼԻՑԵՆԶԻԱ ՍՏԱՆԱԼՈՒ ՄԱՍԻՆ</w:t>
      </w:r>
    </w:p>
    <w:p>
      <w:pPr/>
      <w:r>
        <w:rPr/>
        <w:t xml:space="preserve"> </w:t>
      </w:r>
    </w:p>
    <w:tbl>
      <w:tblGrid>
        <w:gridCol w:w="3390" w:type="dxa"/>
        <w:gridCol w:w="6510" w:type="dxa"/>
      </w:tblGrid>
      <w:tblPr>
        <w:tblW w:w="0" w:type="dxa"/>
        <w:tblLayout w:type="autofit"/>
      </w:tblPr>
      <w:tr>
        <w:trPr/>
        <w:tc>
          <w:tcPr>
            <w:tcW w:w="3390" w:type="dxa"/>
            <w:noWrap/>
          </w:tcPr>
          <w:p>
            <w:pPr/>
            <w:r>
              <w:rPr/>
              <w:t xml:space="preserve">1. Հայտ N</w:t>
            </w:r>
          </w:p>
        </w:tc>
        <w:tc>
          <w:tcPr>
            <w:tcW w:w="6510" w:type="dxa"/>
            <w:noWrap/>
          </w:tcPr>
          <w:p>
            <w:pPr/>
            <w:r>
              <w:rPr/>
              <w:t xml:space="preserve">2. Գործողության ժամկետը</w:t>
            </w:r>
          </w:p>
        </w:tc>
      </w:tr>
      <w:tr>
        <w:trPr/>
        <w:tc>
          <w:tcPr>
            <w:tcW w:w="3390" w:type="dxa"/>
            <w:noWrap/>
          </w:tcPr>
          <w:p>
            <w:pPr/>
            <w:r>
              <w:rPr/>
              <w:t xml:space="preserve">3. Գլխավոր լիցենզիայի տեսակը</w:t>
            </w:r>
            <w:br/>
            <w:r>
              <w:rPr/>
              <w:t xml:space="preserve">  ՆԵՐՄՈՒԾՈՒՄ</w:t>
            </w:r>
          </w:p>
        </w:tc>
        <w:tc>
          <w:tcPr>
            <w:tcW w:w="6510" w:type="dxa"/>
            <w:noWrap/>
          </w:tcPr>
          <w:p>
            <w:pPr/>
            <w:r>
              <w:rPr/>
              <w:t xml:space="preserve">4. Հայտատուն</w:t>
            </w:r>
          </w:p>
        </w:tc>
      </w:tr>
      <w:tr>
        <w:trPr/>
        <w:tc>
          <w:tcPr>
            <w:tcW w:w="3390" w:type="dxa"/>
            <w:noWrap/>
          </w:tcPr>
          <w:p>
            <w:pPr/>
            <w:r>
              <w:rPr/>
              <w:t xml:space="preserve">5. Վաճառողի երկիրը</w:t>
            </w:r>
          </w:p>
        </w:tc>
        <w:tc>
          <w:tcPr>
            <w:tcW w:w="6510" w:type="dxa"/>
            <w:noWrap/>
          </w:tcPr>
          <w:p>
            <w:pPr/>
            <w:r>
              <w:rPr/>
              <w:t xml:space="preserve">6. Ծագման երկիրը</w:t>
            </w:r>
          </w:p>
        </w:tc>
      </w:tr>
      <w:tr>
        <w:trPr/>
        <w:tc>
          <w:tcPr>
            <w:tcW w:w="3390" w:type="dxa"/>
            <w:noWrap/>
          </w:tcPr>
          <w:p>
            <w:pPr/>
            <w:r>
              <w:rPr/>
              <w:t xml:space="preserve">7. Չափի միավորը 100 տոննա</w:t>
            </w:r>
          </w:p>
        </w:tc>
        <w:tc>
          <w:tcPr>
            <w:tcW w:w="6510" w:type="dxa"/>
            <w:noWrap/>
          </w:tcPr>
          <w:p>
            <w:pPr/>
            <w:r>
              <w:rPr/>
              <w:t xml:space="preserve">8. Ծավալը</w:t>
            </w:r>
          </w:p>
        </w:tc>
      </w:tr>
      <w:tr>
        <w:trPr/>
        <w:tc>
          <w:tcPr>
            <w:tcW w:w="9900" w:type="dxa"/>
            <w:gridSpan w:val="2"/>
            <w:noWrap/>
          </w:tcPr>
          <w:p>
            <w:pPr/>
            <w:r>
              <w:rPr/>
              <w:t xml:space="preserve">9. Ապրանքի ծածկագիրը և նկարագրությունը` ըստ ԵԱՏՄ ԱՏԳ ԱԱ ծածկագրի</w:t>
            </w:r>
          </w:p>
        </w:tc>
      </w:tr>
      <w:tr>
        <w:trPr/>
        <w:tc>
          <w:tcPr>
            <w:tcW w:w="9900" w:type="dxa"/>
            <w:gridSpan w:val="2"/>
            <w:noWrap/>
          </w:tcPr>
          <w:p>
            <w:pPr/>
            <w:r>
              <w:rPr/>
              <w:t xml:space="preserve">10. Լրացուցիչ տեղեկատվություն (անհրաժեշտության դեպքում)</w:t>
            </w:r>
          </w:p>
        </w:tc>
      </w:tr>
      <w:tr>
        <w:trPr/>
        <w:tc>
          <w:tcPr>
            <w:tcW w:w="3390" w:type="dxa"/>
            <w:noWrap/>
          </w:tcPr>
          <w:p>
            <w:pPr/>
            <w:r>
              <w:rPr/>
              <w:t xml:space="preserve">11. Գլխավոր լիցենզիա  տալու հիմքը</w:t>
            </w:r>
          </w:p>
        </w:tc>
        <w:tc>
          <w:tcPr>
            <w:tcW w:w="6510" w:type="dxa"/>
            <w:noWrap/>
          </w:tcPr>
          <w:p>
            <w:pPr/>
            <w:r>
              <w:rPr/>
              <w:t xml:space="preserve">12. Հայտատուի լիազորված անձ</w:t>
            </w:r>
            <w:br/>
            <w:r>
              <w:rPr/>
              <w:t xml:space="preserve"> Անունը, հայրանունը, ազգանունը</w:t>
            </w:r>
            <w:br/>
            <w:r>
              <w:rPr/>
              <w:t xml:space="preserve"> Պաշտոնը`</w:t>
            </w:r>
            <w:br/>
            <w:r>
              <w:rPr/>
              <w:t xml:space="preserve"> Հեռախոսահամարը`</w:t>
            </w:r>
            <w:br/>
            <w:r>
              <w:rPr/>
              <w:t xml:space="preserve"> Ստորագրությունը </w:t>
            </w:r>
            <w:br/>
            <w:r>
              <w:rPr/>
              <w:t xml:space="preserve"> _____ _____________ 202  թ.</w:t>
            </w:r>
          </w:p>
        </w:tc>
      </w:tr>
    </w:tbl>
    <w:p>
      <w:pPr/>
      <w:r>
        <w:rPr/>
        <w:t xml:space="preserve"> </w:t>
      </w:r>
    </w:p>
    <w:p>
      <w:pPr/>
      <w:r>
        <w:rPr/>
        <w:t xml:space="preserve"> </w:t>
      </w:r>
    </w:p>
    <w:p>
      <w:pPr/>
      <w:r>
        <w:rPr>
          <w:u w:val="single"/>
        </w:rPr>
        <w:t xml:space="preserve">Ձև </w:t>
      </w:r>
      <w:r>
        <w:rPr>
          <w:u w:val="single"/>
        </w:rPr>
        <w:t xml:space="preserve">N 2</w:t>
      </w:r>
    </w:p>
    <w:p>
      <w:pPr/>
      <w:br/>
      <w:r>
        <w:rPr/>
        <w:t xml:space="preserve"> Գ Լ Խ Ա Վ Ո Ր   Լ Ի Ց Ե Ն Զ Ի Ա</w:t>
      </w:r>
    </w:p>
    <w:p>
      <w:pPr/>
      <w:r>
        <w:rPr/>
        <w:t xml:space="preserve">ԵԱՏՄ ԱՏԳ ԱԱ 2523 (ԲԱՑԱՌՈՒԹՅԱՄԲ 2523210000 ԱՊՐԱՆՔԱՅԻՆ ԴԻՐՔԻՆ ԴԱՍՎՈՂ ԾԱԾԿԱԳՐԻ) ԱՊՐԱՆՔԱՅԻՆ ԴԻՐՔԻ ԾԱԾԿԱԳՐԻՆ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  </w:t>
      </w:r>
    </w:p>
    <w:tbl>
      <w:tblGrid>
        <w:gridCol w:w="0" w:type="dxa"/>
        <w:gridCol w:w="0" w:type="dxa"/>
        <w:gridCol w:w="0" w:type="dxa"/>
      </w:tblGrid>
      <w:tblPr>
        <w:tblW w:w="0" w:type="dxa"/>
        <w:tblLayout w:type="autofit"/>
      </w:tblPr>
      <w:tr>
        <w:trPr/>
        <w:tc>
          <w:tcPr>
            <w:tcW w:w="0" w:type="dxa"/>
            <w:gridSpan w:val="3"/>
            <w:noWrap/>
          </w:tcPr>
          <w:p>
            <w:pPr/>
            <w:r>
              <w:rPr/>
              <w:t xml:space="preserve">Հայաստանի Հանրապետության էկոնոմիկայի նախարարություն</w:t>
            </w:r>
          </w:p>
        </w:tc>
      </w:tr>
      <w:tr>
        <w:trPr/>
        <w:tc>
          <w:tcPr>
            <w:tcW w:w="0" w:type="dxa"/>
            <w:noWrap/>
          </w:tcPr>
          <w:p>
            <w:pPr/>
            <w:r>
              <w:rPr/>
              <w:t xml:space="preserve">1. Գլխավոր լիցենզիա  N</w:t>
            </w:r>
          </w:p>
        </w:tc>
        <w:tc>
          <w:tcPr>
            <w:tcW w:w="0" w:type="dxa"/>
            <w:gridSpan w:val="2"/>
            <w:noWrap/>
          </w:tcPr>
          <w:p>
            <w:pPr/>
            <w:r>
              <w:rPr/>
              <w:t xml:space="preserve">2. Գործողության ժամկետը</w:t>
            </w:r>
          </w:p>
        </w:tc>
      </w:tr>
      <w:tr>
        <w:trPr/>
        <w:tc>
          <w:tcPr>
            <w:tcW w:w="0" w:type="dxa"/>
            <w:noWrap/>
          </w:tcPr>
          <w:p>
            <w:pPr/>
            <w:r>
              <w:rPr/>
              <w:t xml:space="preserve">3. Գլխավոր լիցենզիայի տեսակը</w:t>
            </w:r>
            <w:br/>
            <w:r>
              <w:rPr/>
              <w:t xml:space="preserve"> ՆԵՐՄՈՒԾՈՒՄ</w:t>
            </w:r>
          </w:p>
        </w:tc>
        <w:tc>
          <w:tcPr>
            <w:tcW w:w="0" w:type="dxa"/>
            <w:gridSpan w:val="2"/>
            <w:noWrap/>
          </w:tcPr>
          <w:p>
            <w:pPr/>
            <w:r>
              <w:rPr/>
              <w:t xml:space="preserve">4. Հայտատուն</w:t>
            </w:r>
          </w:p>
        </w:tc>
      </w:tr>
      <w:tr>
        <w:trPr/>
        <w:tc>
          <w:tcPr>
            <w:tcW w:w="0" w:type="dxa"/>
            <w:noWrap/>
          </w:tcPr>
          <w:p>
            <w:pPr/>
            <w:r>
              <w:rPr/>
              <w:t xml:space="preserve">5. Վաճառողի երկիրը</w:t>
            </w:r>
          </w:p>
        </w:tc>
        <w:tc>
          <w:tcPr>
            <w:tcW w:w="0" w:type="dxa"/>
            <w:gridSpan w:val="2"/>
            <w:noWrap/>
          </w:tcPr>
          <w:p>
            <w:pPr/>
            <w:r>
              <w:rPr/>
              <w:t xml:space="preserve">6. Ծագման երկիրը</w:t>
            </w:r>
          </w:p>
        </w:tc>
      </w:tr>
      <w:tr>
        <w:trPr/>
        <w:tc>
          <w:tcPr>
            <w:tcW w:w="0" w:type="dxa"/>
            <w:noWrap/>
          </w:tcPr>
          <w:p>
            <w:pPr/>
            <w:r>
              <w:rPr/>
              <w:t xml:space="preserve">7. Չափի միավորը 100 տ</w:t>
            </w:r>
          </w:p>
        </w:tc>
        <w:tc>
          <w:tcPr>
            <w:tcW w:w="0" w:type="dxa"/>
            <w:noWrap/>
          </w:tcPr>
          <w:p>
            <w:pPr/>
            <w:r>
              <w:rPr/>
              <w:t xml:space="preserve">8. Ծավալը</w:t>
            </w:r>
          </w:p>
        </w:tc>
        <w:tc>
          <w:tcPr>
            <w:tcW w:w="0" w:type="dxa"/>
            <w:noWrap/>
          </w:tcPr>
          <w:p>
            <w:pPr/>
            <w:r>
              <w:rPr/>
              <w:t xml:space="preserve"> </w:t>
            </w:r>
          </w:p>
        </w:tc>
      </w:tr>
      <w:tr>
        <w:trPr/>
        <w:tc>
          <w:tcPr>
            <w:tcW w:w="0" w:type="dxa"/>
            <w:gridSpan w:val="3"/>
            <w:noWrap/>
          </w:tcPr>
          <w:p>
            <w:pPr/>
            <w:r>
              <w:rPr/>
              <w:t xml:space="preserve">9. Ապրանքի ծածկագիրը և նկարագրությունը` ըստ ԵԱՏՄ ԱՏԳ ԱԱ-ի</w:t>
            </w:r>
          </w:p>
        </w:tc>
      </w:tr>
      <w:tr>
        <w:trPr/>
        <w:tc>
          <w:tcPr>
            <w:tcW w:w="0" w:type="dxa"/>
            <w:gridSpan w:val="3"/>
            <w:noWrap/>
          </w:tcPr>
          <w:p>
            <w:pPr/>
            <w:r>
              <w:rPr/>
              <w:t xml:space="preserve">10. Լրացուցիչ տեղեկատվություն</w:t>
            </w:r>
          </w:p>
        </w:tc>
      </w:tr>
      <w:tr>
        <w:trPr/>
        <w:tc>
          <w:tcPr>
            <w:tcW w:w="0" w:type="dxa"/>
            <w:noWrap/>
          </w:tcPr>
          <w:p>
            <w:pPr/>
            <w:r>
              <w:rPr/>
              <w:t xml:space="preserve">11. Գլխավոր լիցենզիան տալու հիմքը</w:t>
            </w:r>
          </w:p>
        </w:tc>
        <w:tc>
          <w:tcPr>
            <w:tcW w:w="0" w:type="dxa"/>
            <w:gridSpan w:val="2"/>
            <w:noWrap/>
          </w:tcPr>
          <w:p>
            <w:pPr/>
            <w:r>
              <w:rPr/>
              <w:t xml:space="preserve">12. Լիազորված անձ</w:t>
            </w:r>
            <w:br/>
            <w:r>
              <w:rPr/>
              <w:t xml:space="preserve"> Անունը, հայրանունը, ազգանունը</w:t>
            </w:r>
            <w:br/>
            <w:r>
              <w:rPr/>
              <w:t xml:space="preserve"> Պաշտոնը</w:t>
            </w:r>
            <w:br/>
            <w:r>
              <w:rPr/>
              <w:t xml:space="preserve"> Ստորագրությունը և կնիքը</w:t>
            </w:r>
            <w:br/>
            <w:r>
              <w:rPr/>
              <w:t xml:space="preserve"> _____ _____________ 202  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A4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55FB7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52F3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EC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14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CC6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DABD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C73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99A68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61B0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2026-04-03T20:29:00+04:00</dcterms:created>
  <dcterms:modified xsi:type="dcterms:W3CDTF">2026-04-03T20:29:00+04:00</dcterms:modified>
</cp:coreProperties>
</file>

<file path=docProps/custom.xml><?xml version="1.0" encoding="utf-8"?>
<Properties xmlns="http://schemas.openxmlformats.org/officeDocument/2006/custom-properties" xmlns:vt="http://schemas.openxmlformats.org/officeDocument/2006/docPropsVTypes"/>
</file>