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«Տնտեսական մրցակցության պաշտպանության մասին» Հայաստանի Հանրապետության օրենքում փոփոխություն և լրացում կատարելու մասին» ՀՀ օրենքի նախագիծ</w:t>
      </w:r>
      <w:bookmarkEnd w:id="0"/>
    </w:p>
    <w:p>
      <w:pPr>
        <w:jc w:val="end"/>
      </w:pPr>
      <w:r>
        <w:rPr>
          <w:b w:val="1"/>
          <w:bCs w:val="1"/>
        </w:rPr>
        <w:t xml:space="preserve">Ն</w:t>
      </w:r>
      <w:r>
        <w:rPr/>
        <w:t xml:space="preserve"> </w:t>
      </w:r>
      <w:r>
        <w:rPr>
          <w:b w:val="1"/>
          <w:bCs w:val="1"/>
        </w:rPr>
        <w:t xml:space="preserve">Ա</w:t>
      </w:r>
      <w:r>
        <w:rPr/>
        <w:t xml:space="preserve"> </w:t>
      </w:r>
      <w:r>
        <w:rPr>
          <w:b w:val="1"/>
          <w:bCs w:val="1"/>
        </w:rPr>
        <w:t xml:space="preserve">Խ</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Ծ</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t xml:space="preserve"> </w:t>
      </w:r>
    </w:p>
    <w:p>
      <w:pPr>
        <w:jc w:val="center"/>
      </w:pPr>
      <w:r>
        <w:rPr>
          <w:b w:val="1"/>
          <w:bCs w:val="1"/>
        </w:rPr>
        <w:t xml:space="preserve">«ՏՆՏԵՍԱԿԱՆ</w:t>
      </w:r>
      <w:r>
        <w:rPr>
          <w:b w:val="1"/>
          <w:bCs w:val="1"/>
        </w:rPr>
        <w:t xml:space="preserve"> </w:t>
      </w:r>
      <w:r>
        <w:rPr>
          <w:b w:val="1"/>
          <w:bCs w:val="1"/>
        </w:rPr>
        <w:t xml:space="preserve">ՄՐՑԱԿՑՈՒԹՅԱՆ ՊԱՇՏՊԱՆՈՒԹՅԱՆ ՄԱՍԻՆ»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 ՓՈՓՈԽՈՒԹՅՈՒՆ ԵՎ ԼՐԱՑՈՒՄ ԿԱՏԱՐԵԼՈՒ</w:t>
      </w:r>
      <w:r>
        <w:rPr/>
        <w:t xml:space="preserve"> </w:t>
      </w:r>
      <w:r>
        <w:rPr>
          <w:b w:val="1"/>
          <w:bCs w:val="1"/>
        </w:rPr>
        <w:t xml:space="preserve">ՄԱՍԻՆ</w:t>
      </w:r>
      <w:r>
        <w:rPr>
          <w:b w:val="1"/>
          <w:bCs w:val="1"/>
        </w:rPr>
        <w:t xml:space="preserve">»</w:t>
      </w:r>
      <w:r>
        <w:rPr>
          <w:b w:val="1"/>
          <w:bCs w:val="1"/>
        </w:rPr>
        <w:t xml:space="preserve">                          </w:t>
      </w:r>
    </w:p>
    <w:p>
      <w:pPr/>
      <w:r>
        <w:rPr/>
        <w:t xml:space="preserve"> </w:t>
      </w:r>
    </w:p>
    <w:p>
      <w:pPr/>
      <w:r>
        <w:rPr>
          <w:b w:val="1"/>
          <w:bCs w:val="1"/>
        </w:rPr>
        <w:t xml:space="preserve">Հոդված 1.</w:t>
      </w:r>
      <w:r>
        <w:rPr/>
        <w:t xml:space="preserve"> «Տնտեսական մրցակցության պաշտպանության մասին» 2000 թվականի նոյեմբերի 6-ի ՀՕ-112-Ն օրենքի /այսուհետ` Օրենք/ 36-րդ հոդվածի ամբողջ տեքստից հանել «մինչև» բառը և լրացնել հետևյալ բովանդակությամբ 10-րդ մասով.</w:t>
      </w:r>
    </w:p>
    <w:p>
      <w:pPr/>
      <w:r>
        <w:rPr/>
        <w:t xml:space="preserve">«Հանձնաժողովն իրավասու է իր որոշմամբ նշանակել սույն հոդվածով նախատեսված տուգանքի չափից ավելի ցածր տուգանք՝ այն պարագայում, երբ վերջինս կարողանա հստակ հիմնավորել ավելի ցածր տուգանք նշանակելու նպատակահարմարությունը՝ հաշվի առնելով տվյալ իրավախախտման բնույթը, տևողությունը, իրավախախտման հնարավոր կամ փաստացի ազդեցությունը շուկայում մրցակցային իրավիճակի կամ սպառողների շահերի վրա, տվյալ տնտեսվարող սուբյեկտի կողմից սույն օրենքի խախտումների կրկնակիությունը, տնտեսվարող սուբյեկտի դիտավորության աստիճանը, տնտեսվարող սուբյեկտի կողմից իրավախախտում կատարելու շարժառիթները և հանգամանքները, տնտեսվարող սուբյեկտի կողմից իրավախախտում կատարելու փաստն ընդունելու կամ Հանձնաժողովի հետ համագործակցելու հանգամանքը, տնտեսվարող սուբյեկտի վրա նշանակվող տուգանքի հնարավոր ազդեցությունը, տվյալ տնտեսվարող սուբյեկտի գործունեության ոլորտը և (կամ) տնտեսվարող սուբյեկտի պատմությունը և այլն։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2026-03-31T01:55:13+04:00</dcterms:created>
  <dcterms:modified xsi:type="dcterms:W3CDTF">2026-03-31T01:55:13+04:00</dcterms:modified>
</cp:coreProperties>
</file>

<file path=docProps/custom.xml><?xml version="1.0" encoding="utf-8"?>
<Properties xmlns="http://schemas.openxmlformats.org/officeDocument/2006/custom-properties" xmlns:vt="http://schemas.openxmlformats.org/officeDocument/2006/docPropsVTypes"/>
</file>