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«ԵՐԵՎԱՆԻ ԼԵՎՈՆ ԱՐԻՍՅԱՆԻ ԱՆՎԱՆ Հ. 127 ԱՎԱԳ ԴՊՐՈՑ» ՊԵՏԱԿԱՆ ՈՉ ԱՌԵՎՏՐԱՅԻՆ ԿԱԶՄԱԿԵՐՊՈՒԹՅՈՒՆԸ «ՀԱՅԱՍՏԱՆԻ ՊԵՏԱԿԱՆ ՏՆՏԵՍԱԳԻՏԱԿԱՆ ՀԱՄԱԼՍԱՐԱՆ» ՊԵՏԱԿԱՆ ՈՉ ԱՌԵՎՏՐԱՅԻՆ ԿԱԶՄԱԿԵՐՊՈՒԹՅԱՆԸ ՄԻԱՑՄԱՆ ՁԵՎՈՎ ՎԵՐԱԿԱԶՄԱԿԵՐՊԵԼՈՒ, ՀԱՅԱՍՏԱՆԻ ՀԱՆՐԱՊԵՏՈՒԹՅԱՆ 2010 ԹՎԱԿԱՆԻ ՄԱՅԻՍԻ 6-Ի N 575-Ն ԵՎ 2005 ԹՎԱԿԱՆԻ ՀՈԿՏԵՄԲԵՐԻ 6-Ի N 1718-Ն ՈՐՈՇՈՒՄՆԵՐԻ ՄԵՋ ՓՈՓՈԽՈՒԹՅՈՒՆՆԵՐ ԵՎ ԼՐԱՑՈՒՄ ԿԱՏԱՐԵԼՈՒ ՄԱՍԻՆ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  <w:b w:val="1"/>
          <w:bCs w:val="1"/>
        </w:rPr>
        <w:t xml:space="preserve">ՆԱԽԱԳԻԾ 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Ո Ր Ո Շ Ո Ւ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-------------------- 2026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N - 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ԵՐԵՎԱՆԻ ԼԵՎՈՆ ԱՐԻՍՅԱՆԻ ԱՆՎԱՆ Հ. 127 ԱՎԱԳ ԴՊՐՈՑ</w:t>
      </w:r>
      <w:r>
        <w:rPr>
          <w:rFonts w:ascii="'GHEA Grapalat'" w:hAnsi="'GHEA Grapalat'" w:eastAsia="'GHEA Grapalat'" w:cs="'GHEA Grapalat'"/>
          <w:lang w:val="fr-FR"/>
          <w:color w:val="black"/>
          <w:b w:val="1"/>
          <w:bCs w:val="1"/>
        </w:rPr>
        <w:t xml:space="preserve">» ՊԵՏԱԿԱՆ ՈՉ ԱՌԵՎՏՐԱՅԻՆ ԿԱԶՄԱԿԵՐՊՈՒԹՅՈՒՆԸ</w:t>
      </w:r>
      <w:r>
        <w:rPr>
          <w:rFonts w:ascii="'GHEA Grapalat'" w:hAnsi="'GHEA Grapalat'" w:eastAsia="'GHEA Grapalat'" w:cs="'GHEA Grapalat'"/>
          <w:lang w:val="fr-FR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ՊԵՏԱԿԱՆ ՏՆՏԵՍԱԳԻՏԱԿԱՆ ՀԱՄԱԼՍԱՐԱՆ</w:t>
      </w:r>
      <w:r>
        <w:rPr>
          <w:rFonts w:ascii="'GHEA Grapalat'" w:hAnsi="'GHEA Grapalat'" w:eastAsia="'GHEA Grapalat'" w:cs="'GHEA Grapalat'"/>
          <w:lang w:val="fr-FR"/>
          <w:color w:val="black"/>
          <w:b w:val="1"/>
          <w:bCs w:val="1"/>
        </w:rPr>
        <w:t xml:space="preserve">» ՊԵՏԱԿԱՆ ՈՉ ԱՌԵՎՏՐԱՅԻՆ ԿԱԶՄԱԿԵՐՊՈՒԹՅԱՆԸ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ՄԻԱՑՄԱՆ ՁԵՎՈՎ ՎԵՐԱԿԱԶՄԱԿԵՐՊԵԼՈՒ</w:t>
      </w: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,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ՀԱՅԱՍՏԱՆԻ ՀԱՆՐԱՊԵՏՈՒԹՅԱՆ 2010 ԹՎԱԿԱՆԻ ՄԱՅԻՍԻ 6-Ի N 575-Ն ԵՎ 2005 ԹՎԱԿԱՆԻ ՀՈԿՏԵՄԲԵՐԻ 6-Ի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N 1718-Ն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ՈՐՈՇՈՒՄՆԵՐԻ ՄԵՋ ՓՈՓՈԽՈՒԹՅՈՒՆՆԵՐ ԵՎ ԼՐԱՑՈՒՄ ԿԱՏԱՐԵԼՈՒ ՄԱՍԻՆ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color w:val="black"/>
          <w:b w:val="1"/>
          <w:bCs w:val="1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քաղաքացիական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օրենսգրքի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spacing w:val="0"/>
        </w:rPr>
        <w:t xml:space="preserve"> 63-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հոդվածի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spacing w:val="0"/>
        </w:rPr>
        <w:t xml:space="preserve"> 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մասերը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, 64-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ոչ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առևտրային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կազմա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կեր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պու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թյուն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13-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մասի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ենթակետերը, ինչպես նաև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«Նորմատիվ իրավական ակտերի մասին» օրենքի 33-րդ և 34-րդ հոդվածները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որոշո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ւ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.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Երևանի Լևոն Արիսյանի անվան հ. 127 ավագ դպրոց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  <w:b w:val="1"/>
          <w:bCs w:val="1"/>
        </w:rPr>
        <w:t xml:space="preserve">»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պետական ոչ առևտրային կազմակերպությունը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(պետական գրանցման համարը՝ 282.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210.04534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միացման ձևով վերակազմակերպել` միացնելով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պետական տնտեսագիտական համալսարան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ոչ առևտրային կազմակերպությանը (պետական գրանցման համարը` 273.210.03225):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Սահմանել, որ՝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Երևանի Լևոն Արիսյանի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անվան հ. 127 ավագ դպրոց» պետական ոչ առևտրային կազմակերպության իրավահաջորդը «Հայաստանի պետական տնտեսագիտական համալսարան» պետական ոչ առևտրային կազմակերպությունն է, և վերջինիս են անցնում միացված իրավաբանական անձի իրավունքներն ու պարտականությունները` փոխանցման ակտին համապատասխան,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վերակազմակերպման հետ կապված ծախսերը կատարվելու են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պետական տնտեսագիտական համալսարան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պետական ոչ առևտրային կազմակերպության միջոցների հաշվին: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 Հայաստանի Հանրապետության կրթության, գիտության, մշակույթի և սպորտի նախարարին` սույն որոշումն ուժի մեջ մտնելուց հետո՝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երկամսյա ժամկետում ապահովել «Երևանի Լևոն Արիսյանի անվան հ. 127 ավագ դպրոց» պետական ոչ առևտրային կազմակերպության վերակազմակերպման հետ կապված աշխատանքները՝ գույքագրման աշխատանքների իրականացումը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սեփականության իրավունքով և անհատույց օգտագործման իրավունքով պատկանող գույքի, ինչպես նաև պարտավորությունների կազմի ճշտման գործընթաց) հաստատել փոխանցման ակտը, գույքի կազմն ու արժեքը, միացման պայմանագիրը, միացման կարգը և պայմանները,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սույն կետի 1-ին ենթակետի աշխատանքների ավարտից հետո մեկամսյա ժամկետում ապահովել սույն որոշմամբ վերակազմակերպված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«Երևանի Լևոն Արիսյանի անվան հ. 127 ավագ դպրոց»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ոչ առևտրային կազմակերպության գործունեության դադարեցման և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պետական տնտեսագիտական համալսարան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ոչ առևտրային կազմակերպության կանոնադրության մեջ վերակազմակերպումից բխող համապատասխան փոփոխությունների պետական գրանցումը,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սույն կետի 2-րդ ենթակետի աշխատանքների ավարտից հետո մեկամսյա ժամկետում՝ ապահովել «Երևանի Լևոն Արիսյանի անվան հ. 127 ավագ դպրոց» պետական ոչ առևտրային կազմակերպությանը սեփականության իրավունքով պատկանող գույքի հանձնումը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պետական տնտեսագիտական համալսարան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պետական ոչ առևտրային կազմակերպությանը և հաստատել հանձնման-ընդունման ակտը,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պետական տնտեսագիտական համալսարան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պետական ոչ առևտրային կազմակերպության կազմում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«Երևանի Լևոն Արիսյանի անվան հ. 127 ավագ դպրոց» 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պետական ոչ առևտրային կազմակերպության աշակերտների` հանրակրթական ծրագրերով շարունակական ուսումնառության բնականոն գործընթացը: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ճանաչել 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 կառավարության 2010 թվականի մայիսի 6-ի «Ավագ և հիմնական դպրոցների ցանկը հաստատելու մասին» N 575-Ն որոշման հավելվածի «Ավագ և հիմնական դպրոցների» ցանկի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Երևան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բաժնի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11-րդ կետը: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5. Հայաստանի Հանրապետության կառավարության 2005 թվականի հոկտեմբերի 6-ի «Հայաստանի պետական տնտեսագիտական համալսարան» պետական ոչ առևտրային կազմակերպության կանոնադրությունը հաստատելու և Հայաստանի Հանրապետության կառավարության 2002 թվականի մայիսի 31-ի N 642-Ն որոշումն ուժը կորցրած ճանաչելու մասին» N 1718-Ն որոշման հավելվածում կատարել հետևյալ փոփոխությունները և լրացումը՝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4–րդ կետի 1-ին ենթակետը շարադրել հետևյալ խմբագրությամբ՝</w:t>
      </w:r>
    </w:p>
    <w:p>
      <w:pPr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«1) բարձրագույն կրթության, միջին մասնագիտական, հանրակրթական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 լրացուցիչ կրթության կազմակերպում.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7.1-րդ կետը շարադրել հետևյալ խմբագրությամբ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«7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«Հայաստանի պետական տնտեսագիտական համալսարան» պետական ոչ առևտրային կազմակերպությունը «Երևանի պետական ֆինանսատնտեսագիտական քոլեջ» պետական ոչ առևտրային կազմակերպության (պետական գրանցման համարը՝ 282.210.04598)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և «Երևանի Լևոն Արիսյանի անվան հ. 127 ավագ դպրոց» պետական ոչ առևտրային կազմակերպության (պետական գրանցման համարը՝ 282.210.04534)»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իրավահաջորդն 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31-րդ կետի 2-րդ ենթակետը շարադրել հետևյալ խմբագրությամբ՝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«2) բոլոր կառուցվածքային ստորաբաժանումների կողմից համալսարանի խորհրդի, գիտական խորհրդի որոշումների, ռեկտորի հրամանների և կարգադրությունների կատարմամբ։»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34-րդ կետից հետո լրացնել նոր 34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 կետը, հետևյալ բովանդակությամբ. 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«34.1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Ֆինանսատնտեսագիտական քոլեջը և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«Երևանի Լևոն Արիսյանի անվան հ. 127 ավագ դպրոց»-ը համարվում են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Համալսարանի կառուցվածքային ստորաբաժանումներ և գործում են Հայաստանի Հանրապետության օրենսդրության և իրենց կանոնադրությունների հիման վրա։»։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Հայաստանի Հանրապետության տարածքային կառավարման և ենթակառուցվածքների նախարարության պետական գույքի կառավարման կոմիտեի նախագահին` սույն որոշման 3-րդ կետի նշված գործընթացի ավարտից հետո վեցամսյա ժամկետում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տնտեսագիտական համալսարան» պետական ոչ առևտրային կազմակերպությանը հետ կնքել «Երևանի Լևոն Արիսյանի անվան հ. 127 ավագ դպրոց» պետական ոչ առևտրային կազմակերպության հետ 2017 թվականի օգոստոսի 9-ին կնքված անշարժ գույքի (Հայաստան, Երևան, Քանաքեռ-Զեյթուն, Պ.Սևակի փողոց 11, անշարժ գույքի նկատմամբ իրավունքի պետական գրանցման N 24082017-01-0281 վկայական) անհատույց օգտագործման N 101/0017 պայմանագրում սույն որոշումից բխող պայմանագրի փոփոխման մասին համաձայնագիր (այսուհետ՝ համաձայնագրեր): Համաձայնագրերի նոտարական վավերացման և համաձայնագրերից ծագող գույքային իրավունքների գրանցման ծախսերը ենթակա են իրականացման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տնտեսագիտական համալսարան» պետական ոչ առևտրային կազմակերպության միջոցների հաշվին:</w:t>
      </w:r>
    </w:p>
    <w:p>
      <w:pPr>
        <w:ind w:left="0" w:right="0" w:firstLine="667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7. Սույն որոշումն ուժի մեջ է մտնում պաշտոնական հրապարակմանը հաջորդող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օրվանից:</w:t>
      </w:r>
    </w:p>
    <w:p>
      <w:pPr>
        <w:jc w:val="end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  <w:b w:val="1"/>
          <w:bCs w:val="1"/>
        </w:rPr>
        <w:t xml:space="preserve">`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Ն.ՓԱՇԻՆՅԱՆ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2026-04-03T19:11:31+04:00</dcterms:created>
  <dcterms:modified xsi:type="dcterms:W3CDTF">2026-04-03T19:11:31+04:00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