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7135A" w14:textId="0863343D" w:rsidR="00F169B7" w:rsidRPr="009A47F3" w:rsidRDefault="00F169B7" w:rsidP="009A47F3">
      <w:pPr>
        <w:spacing w:after="0"/>
        <w:jc w:val="right"/>
        <w:rPr>
          <w:rFonts w:ascii="GHEA Grapalat" w:eastAsia="Tahoma" w:hAnsi="GHEA Grapalat" w:cs="Tahoma"/>
          <w:i/>
          <w:iCs/>
          <w:sz w:val="20"/>
          <w:szCs w:val="20"/>
        </w:rPr>
      </w:pPr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>Հավելված N 1</w:t>
      </w:r>
    </w:p>
    <w:p w14:paraId="6ABE434D" w14:textId="77777777" w:rsidR="00F169B7" w:rsidRPr="0036076F" w:rsidRDefault="00F169B7" w:rsidP="00F169B7">
      <w:pPr>
        <w:spacing w:after="0"/>
        <w:jc w:val="right"/>
        <w:rPr>
          <w:rFonts w:ascii="GHEA Grapalat" w:eastAsia="Arial" w:hAnsi="GHEA Grapalat" w:cs="Arial"/>
          <w:i/>
          <w:iCs/>
          <w:sz w:val="20"/>
          <w:szCs w:val="20"/>
        </w:rPr>
      </w:pPr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>Հայաստանի Հանրապետության</w:t>
      </w:r>
    </w:p>
    <w:p w14:paraId="2028D87C" w14:textId="77777777" w:rsidR="00F169B7" w:rsidRPr="0036076F" w:rsidRDefault="00F169B7" w:rsidP="00F169B7">
      <w:pPr>
        <w:spacing w:after="0"/>
        <w:jc w:val="right"/>
        <w:rPr>
          <w:rFonts w:ascii="GHEA Grapalat" w:eastAsia="Arial" w:hAnsi="GHEA Grapalat" w:cs="Arial"/>
          <w:i/>
          <w:iCs/>
          <w:sz w:val="20"/>
          <w:szCs w:val="20"/>
        </w:rPr>
      </w:pPr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>կրթության, գիտության, մշակույթի և</w:t>
      </w:r>
    </w:p>
    <w:p w14:paraId="5A05DC05" w14:textId="77777777" w:rsidR="00F169B7" w:rsidRPr="0036076F" w:rsidRDefault="00F169B7" w:rsidP="00F169B7">
      <w:pPr>
        <w:spacing w:after="0"/>
        <w:jc w:val="right"/>
        <w:rPr>
          <w:rFonts w:ascii="GHEA Grapalat" w:eastAsia="Arial" w:hAnsi="GHEA Grapalat" w:cs="Arial"/>
          <w:i/>
          <w:iCs/>
          <w:sz w:val="20"/>
          <w:szCs w:val="20"/>
        </w:rPr>
      </w:pPr>
      <w:proofErr w:type="gramStart"/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>սպորտի</w:t>
      </w:r>
      <w:proofErr w:type="gramEnd"/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 xml:space="preserve"> նախարարի ..... թվականի</w:t>
      </w:r>
    </w:p>
    <w:p w14:paraId="2DD696E4" w14:textId="77777777" w:rsidR="00F169B7" w:rsidRPr="0036076F" w:rsidRDefault="00F169B7" w:rsidP="00F169B7">
      <w:pPr>
        <w:spacing w:after="120"/>
        <w:jc w:val="right"/>
        <w:rPr>
          <w:rFonts w:ascii="GHEA Grapalat" w:eastAsia="Arial" w:hAnsi="GHEA Grapalat" w:cs="Arial"/>
          <w:b/>
          <w:bCs/>
          <w:i/>
          <w:iCs/>
          <w:sz w:val="20"/>
          <w:szCs w:val="20"/>
        </w:rPr>
      </w:pPr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 xml:space="preserve">..... </w:t>
      </w:r>
      <w:proofErr w:type="gramStart"/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>N .....</w:t>
      </w:r>
      <w:proofErr w:type="gramEnd"/>
      <w:r w:rsidRPr="0036076F">
        <w:rPr>
          <w:rFonts w:ascii="GHEA Grapalat" w:eastAsia="Tahoma" w:hAnsi="GHEA Grapalat" w:cs="Tahoma"/>
          <w:i/>
          <w:iCs/>
          <w:sz w:val="20"/>
          <w:szCs w:val="20"/>
        </w:rPr>
        <w:t xml:space="preserve"> -Ն հրամանի</w:t>
      </w:r>
    </w:p>
    <w:p w14:paraId="1C6771F6" w14:textId="77777777" w:rsidR="00F169B7" w:rsidRPr="0036076F" w:rsidRDefault="00F169B7" w:rsidP="00F169B7">
      <w:pPr>
        <w:spacing w:after="120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</w:p>
    <w:p w14:paraId="478BA8A2" w14:textId="77777777" w:rsidR="00F169B7" w:rsidRPr="0036076F" w:rsidRDefault="00F169B7" w:rsidP="00F169B7">
      <w:pPr>
        <w:spacing w:after="0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ԿԱՐԳ</w:t>
      </w:r>
    </w:p>
    <w:p w14:paraId="53D12684" w14:textId="60DB8DFA" w:rsidR="00F169B7" w:rsidRPr="0036076F" w:rsidRDefault="00F169B7" w:rsidP="00F169B7">
      <w:pPr>
        <w:spacing w:after="12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ԵՐԻՏԱՍԱՐԴԱԿԱՆ ԿԵՆՏՐՈՆԻ ԳՈՐԾՈՒՆԵՈՒԹՅԱՆ</w:t>
      </w:r>
    </w:p>
    <w:p w14:paraId="61E2962C" w14:textId="77777777" w:rsidR="00F169B7" w:rsidRPr="0036076F" w:rsidRDefault="00F169B7" w:rsidP="00F169B7">
      <w:pPr>
        <w:spacing w:after="120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</w:p>
    <w:p w14:paraId="554F5E25" w14:textId="77777777" w:rsidR="00F169B7" w:rsidRPr="0036076F" w:rsidRDefault="00F169B7" w:rsidP="00F169B7">
      <w:pPr>
        <w:numPr>
          <w:ilvl w:val="0"/>
          <w:numId w:val="1"/>
        </w:numPr>
        <w:spacing w:after="120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ԸՆԴՀԱՆՈՒՐ ԴՐՈՒՅԹՆԵՐ</w:t>
      </w:r>
    </w:p>
    <w:p w14:paraId="4DFB8CD8" w14:textId="77777777" w:rsidR="004F71D8" w:rsidRPr="004F71D8" w:rsidRDefault="00F169B7" w:rsidP="009070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Tahoma" w:hAnsi="GHEA Grapalat" w:cs="Tahoma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Սույն կարգով </w:t>
      </w:r>
      <w:r w:rsidR="004F71D8">
        <w:rPr>
          <w:rFonts w:ascii="GHEA Grapalat" w:eastAsia="Tahoma" w:hAnsi="GHEA Grapalat" w:cs="Tahoma"/>
          <w:sz w:val="24"/>
          <w:szCs w:val="24"/>
          <w:lang w:val="hy-AM"/>
        </w:rPr>
        <w:t>սահմանվում են Հայաստանի Հանրապետությունում գործող երիտասարդական կենտրոնների ստեղծման և գործունեության իրականացման հետ կապված առանձնահատկությունները:</w:t>
      </w:r>
    </w:p>
    <w:p w14:paraId="04857751" w14:textId="4C791216" w:rsidR="004F71D8" w:rsidRPr="004F71D8" w:rsidRDefault="004F71D8" w:rsidP="009070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Երիտասարդական կենտրոնները ստեղծվում են «Երիտասարդական քաղաքականության մասին» օրենքով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755A23" w:rsidRPr="00755A23">
        <w:rPr>
          <w:rFonts w:ascii="GHEA Grapalat" w:eastAsia="Tahoma" w:hAnsi="GHEA Grapalat" w:cs="Tahoma"/>
          <w:sz w:val="24"/>
          <w:szCs w:val="24"/>
        </w:rPr>
        <w:t>(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>այսուհետ՝ Օրենք</w:t>
      </w:r>
      <w:r w:rsidR="00755A23" w:rsidRPr="00755A23">
        <w:rPr>
          <w:rFonts w:ascii="GHEA Grapalat" w:eastAsia="Tahoma" w:hAnsi="GHEA Grapalat" w:cs="Tahoma"/>
          <w:sz w:val="24"/>
          <w:szCs w:val="24"/>
        </w:rPr>
        <w:t>)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սահմանված դրույթների համաձայն:</w:t>
      </w:r>
    </w:p>
    <w:p w14:paraId="461BFD56" w14:textId="4C35C693" w:rsidR="004F71D8" w:rsidRPr="00344D06" w:rsidRDefault="004F71D8" w:rsidP="009070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Երիտասարդական կետրոնների 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>գ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 xml:space="preserve">ործառույթները </w:t>
      </w:r>
      <w:r w:rsidR="009A47F3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սահմանվում են </w:t>
      </w:r>
      <w:r w:rsidR="00337AF0">
        <w:rPr>
          <w:rFonts w:ascii="GHEA Grapalat" w:eastAsia="Tahoma" w:hAnsi="GHEA Grapalat" w:cs="Tahoma"/>
          <w:sz w:val="24"/>
          <w:szCs w:val="24"/>
          <w:lang w:val="hy-AM"/>
        </w:rPr>
        <w:t>հիմնադիր</w:t>
      </w:r>
      <w:r w:rsidR="009A47F3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F29FB">
        <w:rPr>
          <w:rFonts w:ascii="GHEA Grapalat" w:eastAsia="Tahoma" w:hAnsi="GHEA Grapalat" w:cs="Tahoma"/>
          <w:sz w:val="24"/>
          <w:szCs w:val="24"/>
          <w:lang w:val="hy-AM"/>
        </w:rPr>
        <w:t>կազմակերպության կանոնադրությ</w:t>
      </w:r>
      <w:r w:rsidR="00337AF0">
        <w:rPr>
          <w:rFonts w:ascii="GHEA Grapalat" w:eastAsia="Tahoma" w:hAnsi="GHEA Grapalat" w:cs="Tahoma"/>
          <w:sz w:val="24"/>
          <w:szCs w:val="24"/>
          <w:lang w:val="hy-AM"/>
        </w:rPr>
        <w:t>ամբ</w:t>
      </w:r>
      <w:r w:rsidR="009A47F3">
        <w:rPr>
          <w:rFonts w:ascii="GHEA Grapalat" w:eastAsia="Tahoma" w:hAnsi="GHEA Grapalat" w:cs="Tahoma"/>
          <w:sz w:val="24"/>
          <w:szCs w:val="24"/>
          <w:lang w:val="hy-AM"/>
        </w:rPr>
        <w:t>՝ հիմք ընդունելով Օ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>րենք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 xml:space="preserve"> և լիազոր մարմնի ղեկավարի համապատասխան իրավական ակտերով սահմանված</w:t>
      </w:r>
      <w:r w:rsidR="00755A23">
        <w:rPr>
          <w:rFonts w:ascii="GHEA Grapalat" w:eastAsia="Tahoma" w:hAnsi="GHEA Grapalat" w:cs="Tahoma"/>
          <w:sz w:val="24"/>
          <w:szCs w:val="24"/>
          <w:lang w:val="hy-AM"/>
        </w:rPr>
        <w:t xml:space="preserve"> կարգավորումներ</w:t>
      </w:r>
      <w:r w:rsidR="009A47F3">
        <w:rPr>
          <w:rFonts w:ascii="GHEA Grapalat" w:eastAsia="Tahoma" w:hAnsi="GHEA Grapalat" w:cs="Tahoma"/>
          <w:sz w:val="24"/>
          <w:szCs w:val="24"/>
          <w:lang w:val="hy-AM"/>
        </w:rPr>
        <w:t>ը</w:t>
      </w:r>
      <w:r>
        <w:rPr>
          <w:rFonts w:ascii="GHEA Grapalat" w:eastAsia="Tahoma" w:hAnsi="GHEA Grapalat" w:cs="Tahoma"/>
          <w:sz w:val="24"/>
          <w:szCs w:val="24"/>
          <w:lang w:val="hy-AM"/>
        </w:rPr>
        <w:t>:</w:t>
      </w:r>
      <w:r w:rsidR="007B7F89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27FF54DA" w14:textId="1F7F1237" w:rsidR="00344D06" w:rsidRPr="0036076F" w:rsidRDefault="00344D06" w:rsidP="00344D0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Երիտասարդական կենտրոնների գործունեությունը </w:t>
      </w:r>
      <w:r w:rsidR="00337AF0">
        <w:rPr>
          <w:rFonts w:ascii="GHEA Grapalat" w:eastAsia="Tahoma" w:hAnsi="GHEA Grapalat" w:cs="Tahoma"/>
          <w:sz w:val="24"/>
          <w:szCs w:val="24"/>
          <w:lang w:val="hy-AM"/>
        </w:rPr>
        <w:t>իրականացվում է հիմք ընդունելով երիտասարդական աշխատանքի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սկզբունքներ</w:t>
      </w:r>
      <w:r w:rsidR="00337AF0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, որոնք սահմանում են </w:t>
      </w:r>
      <w:r>
        <w:rPr>
          <w:rFonts w:ascii="GHEA Grapalat" w:eastAsia="Tahoma" w:hAnsi="GHEA Grapalat" w:cs="Tahoma"/>
          <w:sz w:val="24"/>
          <w:szCs w:val="24"/>
          <w:lang w:val="hy-AM"/>
        </w:rPr>
        <w:t>կ</w:t>
      </w:r>
      <w:r w:rsidRPr="0036076F">
        <w:rPr>
          <w:rFonts w:ascii="GHEA Grapalat" w:eastAsia="Tahoma" w:hAnsi="GHEA Grapalat" w:cs="Tahoma"/>
          <w:sz w:val="24"/>
          <w:szCs w:val="24"/>
        </w:rPr>
        <w:t>ենտրոնների աշխատանքի բովանդակային, կազմակերպչական և գործառնական մոտեցումները։ Այդ սկզբունքները պարտադիր ուղենիշ են երիտասարդական կենտրոնների</w:t>
      </w:r>
      <w:r w:rsidR="00337AF0">
        <w:rPr>
          <w:rFonts w:ascii="GHEA Grapalat" w:eastAsia="Tahoma" w:hAnsi="GHEA Grapalat" w:cs="Tahoma"/>
          <w:sz w:val="24"/>
          <w:szCs w:val="24"/>
          <w:lang w:val="hy-AM"/>
        </w:rPr>
        <w:t xml:space="preserve"> գործունեության համար: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</w:t>
      </w:r>
    </w:p>
    <w:p w14:paraId="4F01F516" w14:textId="77777777" w:rsidR="00BC2BC5" w:rsidRPr="00620A89" w:rsidRDefault="00BC2BC5" w:rsidP="007B7F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/>
        <w:ind w:left="540"/>
        <w:jc w:val="both"/>
        <w:rPr>
          <w:rFonts w:ascii="GHEA Grapalat" w:eastAsia="Tahoma" w:hAnsi="GHEA Grapalat" w:cs="Tahoma"/>
          <w:sz w:val="24"/>
          <w:szCs w:val="24"/>
        </w:rPr>
      </w:pPr>
    </w:p>
    <w:p w14:paraId="762CCABE" w14:textId="5C2817A4" w:rsidR="00620A89" w:rsidRPr="00620A89" w:rsidRDefault="00620A89" w:rsidP="00620A89">
      <w:pPr>
        <w:numPr>
          <w:ilvl w:val="0"/>
          <w:numId w:val="1"/>
        </w:numPr>
        <w:spacing w:after="12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  <w:r w:rsidRPr="00620A89">
        <w:rPr>
          <w:rFonts w:ascii="GHEA Grapalat" w:eastAsia="Tahoma" w:hAnsi="GHEA Grapalat" w:cs="Tahoma"/>
          <w:b/>
          <w:bCs/>
          <w:sz w:val="24"/>
          <w:szCs w:val="24"/>
        </w:rPr>
        <w:t xml:space="preserve">ԵՐԻՏԱՍԱՐԴԱԿԱՆ ԿԵՆՏՐՈՆՆԵՐԻ </w:t>
      </w:r>
      <w:r w:rsidR="009A47F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ԳՈՐԾՈՒՆԵՈՒԹՅԱՆ Ն</w:t>
      </w:r>
      <w:r w:rsidRPr="00620A89">
        <w:rPr>
          <w:rFonts w:ascii="GHEA Grapalat" w:eastAsia="Tahoma" w:hAnsi="GHEA Grapalat" w:cs="Tahoma"/>
          <w:b/>
          <w:bCs/>
          <w:sz w:val="24"/>
          <w:szCs w:val="24"/>
        </w:rPr>
        <w:t>ՊԱՏԱԿՆԵՐԸ ԵՎ ԽՆԴԻՐՆԵՐԸ</w:t>
      </w:r>
    </w:p>
    <w:p w14:paraId="2F6ACD97" w14:textId="605FB683" w:rsidR="00620A89" w:rsidRPr="005724A2" w:rsidRDefault="00620A89" w:rsidP="005724A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eastAsia="Tahoma" w:hAnsi="GHEA Grapalat" w:cs="Tahoma"/>
          <w:sz w:val="24"/>
          <w:szCs w:val="24"/>
          <w:lang w:val="hy-AM"/>
        </w:rPr>
        <w:t>Երիտասարդական</w:t>
      </w:r>
      <w:r w:rsidRPr="005724A2">
        <w:rPr>
          <w:rFonts w:ascii="GHEA Grapalat" w:hAnsi="GHEA Grapalat"/>
          <w:sz w:val="24"/>
          <w:szCs w:val="24"/>
        </w:rPr>
        <w:t xml:space="preserve"> կենտրոնների</w:t>
      </w:r>
      <w:r w:rsidR="009A47F3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Pr="005724A2">
        <w:rPr>
          <w:rFonts w:ascii="GHEA Grapalat" w:hAnsi="GHEA Grapalat"/>
          <w:sz w:val="24"/>
          <w:szCs w:val="24"/>
        </w:rPr>
        <w:t xml:space="preserve"> նպատակն է նպաստել երիտասարդների ներուժի բացահայտմանը</w:t>
      </w:r>
      <w:r w:rsidR="009A47F3">
        <w:rPr>
          <w:rFonts w:ascii="GHEA Grapalat" w:hAnsi="GHEA Grapalat"/>
          <w:sz w:val="24"/>
          <w:szCs w:val="24"/>
          <w:lang w:val="hy-AM"/>
        </w:rPr>
        <w:t xml:space="preserve"> և համակողմանի զարգացմանը, նրանց</w:t>
      </w:r>
      <w:r w:rsidRPr="005724A2">
        <w:rPr>
          <w:rFonts w:ascii="GHEA Grapalat" w:hAnsi="GHEA Grapalat"/>
          <w:sz w:val="24"/>
          <w:szCs w:val="24"/>
        </w:rPr>
        <w:t xml:space="preserve"> կարողությունների շարունակական զարգացմանը, սոցիալական ակտիվության բարձրացման</w:t>
      </w:r>
      <w:r w:rsidR="00925E63">
        <w:rPr>
          <w:rFonts w:ascii="GHEA Grapalat" w:hAnsi="GHEA Grapalat"/>
          <w:sz w:val="24"/>
          <w:szCs w:val="24"/>
          <w:lang w:val="hy-AM"/>
        </w:rPr>
        <w:t>ն ու</w:t>
      </w:r>
      <w:r w:rsidRPr="005724A2">
        <w:rPr>
          <w:rFonts w:ascii="GHEA Grapalat" w:hAnsi="GHEA Grapalat"/>
          <w:sz w:val="24"/>
          <w:szCs w:val="24"/>
        </w:rPr>
        <w:t xml:space="preserve"> </w:t>
      </w:r>
      <w:r w:rsidR="009A47F3">
        <w:rPr>
          <w:rFonts w:ascii="GHEA Grapalat" w:hAnsi="GHEA Grapalat"/>
          <w:sz w:val="24"/>
          <w:szCs w:val="24"/>
          <w:lang w:val="hy-AM"/>
        </w:rPr>
        <w:t>երիտասարդին</w:t>
      </w:r>
      <w:r w:rsidRPr="005724A2">
        <w:rPr>
          <w:rFonts w:ascii="GHEA Grapalat" w:hAnsi="GHEA Grapalat"/>
          <w:sz w:val="24"/>
          <w:szCs w:val="24"/>
        </w:rPr>
        <w:t xml:space="preserve">՝ որպես ակտիվ </w:t>
      </w:r>
      <w:r w:rsidR="009A47F3">
        <w:rPr>
          <w:rFonts w:ascii="GHEA Grapalat" w:hAnsi="GHEA Grapalat"/>
          <w:sz w:val="24"/>
          <w:szCs w:val="24"/>
          <w:lang w:val="hy-AM"/>
        </w:rPr>
        <w:t>ու</w:t>
      </w:r>
      <w:r w:rsidRPr="005724A2">
        <w:rPr>
          <w:rFonts w:ascii="GHEA Grapalat" w:hAnsi="GHEA Grapalat"/>
          <w:sz w:val="24"/>
          <w:szCs w:val="24"/>
        </w:rPr>
        <w:t xml:space="preserve"> պատասխանատու քաղաքացիների ձևավորմանը։ </w:t>
      </w:r>
    </w:p>
    <w:p w14:paraId="2F5DE95B" w14:textId="77777777" w:rsidR="00620A89" w:rsidRPr="005724A2" w:rsidRDefault="00620A89" w:rsidP="005724A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Երիտասարդական</w:t>
      </w:r>
      <w:r w:rsidRPr="005724A2">
        <w:rPr>
          <w:rFonts w:ascii="GHEA Grapalat" w:hAnsi="GHEA Grapalat"/>
          <w:sz w:val="24"/>
          <w:szCs w:val="24"/>
        </w:rPr>
        <w:t xml:space="preserve"> կենտրոնների հիմնական խնդիրներն են՝ </w:t>
      </w:r>
    </w:p>
    <w:p w14:paraId="1E863B41" w14:textId="77777777" w:rsidR="005724A2" w:rsidRDefault="00620A89" w:rsidP="005724A2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hAnsi="GHEA Grapalat"/>
          <w:sz w:val="24"/>
          <w:szCs w:val="24"/>
        </w:rPr>
        <w:t xml:space="preserve">ապահովել երիտասարդների համար անվտանգ և ներառական միջավայր, </w:t>
      </w:r>
    </w:p>
    <w:p w14:paraId="3D5C38B8" w14:textId="1E9BF599" w:rsidR="00620A89" w:rsidRPr="005724A2" w:rsidRDefault="00620A89" w:rsidP="005724A2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hAnsi="GHEA Grapalat"/>
          <w:sz w:val="24"/>
          <w:szCs w:val="24"/>
        </w:rPr>
        <w:t xml:space="preserve">նպաստել ոչ ֆորմալ կրթության և կարողությունների զարգացման գործընթացներին, </w:t>
      </w:r>
    </w:p>
    <w:p w14:paraId="15F8D219" w14:textId="51EBE256" w:rsidR="00620A89" w:rsidRPr="005724A2" w:rsidRDefault="00925E63" w:rsidP="005724A2">
      <w:pPr>
        <w:numPr>
          <w:ilvl w:val="1"/>
          <w:numId w:val="21"/>
        </w:numPr>
        <w:spacing w:before="100" w:beforeAutospacing="1" w:after="100" w:afterAutospacing="1" w:line="24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hAnsi="GHEA Grapalat"/>
          <w:sz w:val="24"/>
          <w:szCs w:val="24"/>
        </w:rPr>
        <w:t>խթանել երիտասարդների քաղաքացիական, մշակութային և սոցիալական ակտիվությունը</w:t>
      </w:r>
      <w:r w:rsidR="00620A89" w:rsidRPr="005724A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10A6086" w14:textId="3820D94E" w:rsidR="005724A2" w:rsidRDefault="00620A89" w:rsidP="005724A2">
      <w:pPr>
        <w:numPr>
          <w:ilvl w:val="1"/>
          <w:numId w:val="21"/>
        </w:numPr>
        <w:spacing w:before="100" w:beforeAutospacing="1" w:after="100" w:afterAutospacing="1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hAnsi="GHEA Grapalat"/>
          <w:sz w:val="24"/>
          <w:szCs w:val="24"/>
        </w:rPr>
        <w:t xml:space="preserve">աջակցել երիտասարդների նախաձեռնություններին և ինքնակազմակերպմանը, </w:t>
      </w:r>
    </w:p>
    <w:p w14:paraId="042937B5" w14:textId="1625E5D3" w:rsidR="00620A89" w:rsidRPr="005724A2" w:rsidRDefault="00620A89" w:rsidP="005724A2">
      <w:pPr>
        <w:numPr>
          <w:ilvl w:val="1"/>
          <w:numId w:val="21"/>
        </w:numPr>
        <w:spacing w:before="100" w:beforeAutospacing="1" w:after="100" w:afterAutospacing="1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hAnsi="GHEA Grapalat"/>
          <w:sz w:val="24"/>
          <w:szCs w:val="24"/>
        </w:rPr>
        <w:t xml:space="preserve">զարգացնել համագործակցությունը համայնքային, պետական և ոչ պետական կառույցների հետ, </w:t>
      </w:r>
    </w:p>
    <w:p w14:paraId="3C4ADF50" w14:textId="77777777" w:rsidR="00620A89" w:rsidRPr="005724A2" w:rsidRDefault="00620A89" w:rsidP="005724A2">
      <w:pPr>
        <w:numPr>
          <w:ilvl w:val="1"/>
          <w:numId w:val="21"/>
        </w:numPr>
        <w:spacing w:before="100" w:beforeAutospacing="1" w:after="100" w:afterAutospacing="1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5724A2">
        <w:rPr>
          <w:rFonts w:ascii="GHEA Grapalat" w:hAnsi="GHEA Grapalat"/>
          <w:sz w:val="24"/>
          <w:szCs w:val="24"/>
        </w:rPr>
        <w:t xml:space="preserve">նպաստել երիտասարդների զբաղվածության և մասնագիտական կողմնորոշման գործընթացներին, </w:t>
      </w:r>
    </w:p>
    <w:p w14:paraId="1F65E19F" w14:textId="6156DC1A" w:rsidR="00620A89" w:rsidRDefault="00925E63" w:rsidP="005724A2">
      <w:pPr>
        <w:numPr>
          <w:ilvl w:val="1"/>
          <w:numId w:val="21"/>
        </w:numPr>
        <w:spacing w:before="100" w:beforeAutospacing="1" w:after="100" w:afterAutospacing="1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gramStart"/>
      <w:r w:rsidRPr="005724A2">
        <w:rPr>
          <w:rFonts w:ascii="GHEA Grapalat" w:hAnsi="GHEA Grapalat"/>
          <w:sz w:val="24"/>
          <w:szCs w:val="24"/>
        </w:rPr>
        <w:t>խթանել</w:t>
      </w:r>
      <w:proofErr w:type="gramEnd"/>
      <w:r w:rsidRPr="005724A2">
        <w:rPr>
          <w:rFonts w:ascii="GHEA Grapalat" w:hAnsi="GHEA Grapalat"/>
          <w:sz w:val="24"/>
          <w:szCs w:val="24"/>
        </w:rPr>
        <w:t xml:space="preserve"> երիտասարդների մասնակցությունը համայնքային և հանրային կյանքին, ներառյալ՝ որոշումների կայացման գործընթացներին</w:t>
      </w:r>
      <w:r w:rsidR="00620A89" w:rsidRPr="005724A2">
        <w:rPr>
          <w:rFonts w:ascii="GHEA Grapalat" w:hAnsi="GHEA Grapalat"/>
          <w:sz w:val="24"/>
          <w:szCs w:val="24"/>
        </w:rPr>
        <w:t xml:space="preserve">։ </w:t>
      </w:r>
    </w:p>
    <w:p w14:paraId="24B7BDC7" w14:textId="77777777" w:rsidR="00337AF0" w:rsidRPr="0036076F" w:rsidRDefault="00337AF0" w:rsidP="00337AF0">
      <w:pPr>
        <w:numPr>
          <w:ilvl w:val="0"/>
          <w:numId w:val="1"/>
        </w:numPr>
        <w:spacing w:after="12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ԵՐԻՏԱՍԱՐԴԱԿԱՆ ԿԵՆՏՐՈՆՆԵՐԻ ԳՈՐԾՈՒՆԵՈՒԹՅԱՆ ՏԵՍԱԿՆԵՐԸ</w:t>
      </w:r>
    </w:p>
    <w:p w14:paraId="37F83853" w14:textId="25F69C64" w:rsidR="00337AF0" w:rsidRPr="0036076F" w:rsidRDefault="00337AF0" w:rsidP="00337AF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Tahoma" w:hAnsi="GHEA Grapalat" w:cs="Tahoma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>Կենտրոնի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գործունեության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տեսակը սահմանվում է 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կ</w:t>
      </w:r>
      <w:r w:rsidRPr="0036076F">
        <w:rPr>
          <w:rFonts w:ascii="GHEA Grapalat" w:eastAsia="Tahoma" w:hAnsi="GHEA Grapalat" w:cs="Tahoma"/>
          <w:sz w:val="24"/>
          <w:szCs w:val="24"/>
        </w:rPr>
        <w:t>ենտրոնի</w:t>
      </w:r>
      <w:r w:rsidR="00943741">
        <w:rPr>
          <w:rFonts w:ascii="GHEA Grapalat" w:eastAsia="Tahoma" w:hAnsi="GHEA Grapalat" w:cs="Tahoma"/>
          <w:sz w:val="24"/>
          <w:szCs w:val="24"/>
          <w:lang w:val="hy-AM"/>
        </w:rPr>
        <w:t xml:space="preserve"> հիմնադիր կազմակերպության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կանոնադրությամբ՝ սույն կարգի պահանջներին համապատասխան։</w:t>
      </w:r>
    </w:p>
    <w:p w14:paraId="2C457393" w14:textId="63FC38D5" w:rsidR="00337AF0" w:rsidRPr="0036076F" w:rsidRDefault="00337AF0" w:rsidP="00337AF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Tahoma" w:hAnsi="GHEA Grapalat" w:cs="Tahoma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Կենտրոնը կարող է միաժամանակ իրականացնել մեկից ավելի </w:t>
      </w:r>
      <w:r w:rsidR="00943741">
        <w:rPr>
          <w:rFonts w:ascii="GHEA Grapalat" w:eastAsia="Tahoma" w:hAnsi="GHEA Grapalat" w:cs="Tahoma"/>
          <w:sz w:val="24"/>
          <w:szCs w:val="24"/>
          <w:lang w:val="hy-AM"/>
        </w:rPr>
        <w:t xml:space="preserve">գործունեության </w:t>
      </w:r>
      <w:r w:rsidRPr="0036076F">
        <w:rPr>
          <w:rFonts w:ascii="GHEA Grapalat" w:eastAsia="Tahoma" w:hAnsi="GHEA Grapalat" w:cs="Tahoma"/>
          <w:sz w:val="24"/>
          <w:szCs w:val="24"/>
        </w:rPr>
        <w:t>տեսակին բնորոշ գործառույթներ՝ պայմանով, որ յուրաքանչյուր տեսակի համար կիրառելի նվազագույն պահանջները պահպանվում են։</w:t>
      </w:r>
    </w:p>
    <w:p w14:paraId="7FAC83C2" w14:textId="174A9C55" w:rsidR="00337AF0" w:rsidRPr="0036076F" w:rsidRDefault="00337AF0" w:rsidP="00337AF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bookmarkStart w:id="0" w:name="_GoBack"/>
      <w:bookmarkEnd w:id="0"/>
      <w:r w:rsidRPr="0036076F">
        <w:rPr>
          <w:rFonts w:ascii="GHEA Grapalat" w:eastAsia="Tahoma" w:hAnsi="GHEA Grapalat" w:cs="Tahoma"/>
          <w:sz w:val="24"/>
          <w:szCs w:val="24"/>
          <w:lang w:val="hy-AM"/>
        </w:rPr>
        <w:t xml:space="preserve">Երիտասարդական կենտրոնների բոլոր տեսակները, անկախ դրանց կազմակերպման ձևից, պարտադիր իրականացնում են երիտասարդական աշխատանք և մատուցում երիտասարդական ծառայություններ՝ </w:t>
      </w:r>
      <w:r w:rsidR="00943741">
        <w:rPr>
          <w:rFonts w:ascii="GHEA Grapalat" w:eastAsia="Tahoma" w:hAnsi="GHEA Grapalat" w:cs="Tahoma"/>
          <w:sz w:val="24"/>
          <w:szCs w:val="24"/>
          <w:lang w:val="hy-AM"/>
        </w:rPr>
        <w:t>Օ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րենքով և լիազոր մարմնի կողմից սահմանված սկզբունքներին, նպատակներին և ուղղություններին համապատասխան։</w:t>
      </w:r>
    </w:p>
    <w:p w14:paraId="1847A1F7" w14:textId="28BCC5FF" w:rsidR="00337AF0" w:rsidRPr="0036076F" w:rsidRDefault="00337AF0" w:rsidP="00337AF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36076F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Սահմանվում են երիտասարդական կենտրոնների </w:t>
      </w:r>
      <w:r w:rsidR="00943741">
        <w:rPr>
          <w:rFonts w:ascii="GHEA Grapalat" w:eastAsia="Tahoma" w:hAnsi="GHEA Grapalat" w:cs="Tahoma"/>
          <w:sz w:val="24"/>
          <w:szCs w:val="24"/>
          <w:lang w:val="hy-AM"/>
        </w:rPr>
        <w:t xml:space="preserve">գործունեության 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հետևյալ հիմնական տեսակները՝</w:t>
      </w:r>
    </w:p>
    <w:p w14:paraId="0F1D3735" w14:textId="77777777" w:rsidR="00337AF0" w:rsidRPr="0036076F" w:rsidRDefault="00337AF0" w:rsidP="00337AF0">
      <w:pPr>
        <w:numPr>
          <w:ilvl w:val="0"/>
          <w:numId w:val="11"/>
        </w:numPr>
        <w:spacing w:after="1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Խորհրդատվական, տեղեկատվական կենտրոն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(Information &amp; Counseling Center). Սա երիտասարդական կենտրոնի տեսակ է, որի 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առաջնային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գործառույթը երիտասարդներին տեղեկությունների տրամադրումն է, խորհրդատվությունը և ուղղորդումը՝ կրթության, զբաղվածության, սոցիալական աջակցության, կամ այլ ոլորտային ծառայությունների հասանելիության նպատակով։ Կենտրոնը կարող է ծառայությունները մատուցել առկա, հեռավար կամ հիբրիդային ձևաչափերով։ Խորհրդատվական, տեղեկատվական կենտրոնը պետք է ապահովի՝ </w:t>
      </w:r>
    </w:p>
    <w:p w14:paraId="6EDBA1C0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lastRenderedPageBreak/>
        <w:t>ա)</w:t>
      </w:r>
      <w:r w:rsidRPr="0036076F">
        <w:rPr>
          <w:rFonts w:ascii="GHEA Grapalat" w:eastAsia="Tahoma" w:hAnsi="GHEA Grapalat" w:cs="Tahoma"/>
          <w:sz w:val="24"/>
          <w:szCs w:val="24"/>
        </w:rPr>
        <w:tab/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տեղեկությունների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տրամադրման ստանդարտացված գործընթաց (պահանջ-պատասխան, աղբյուրների ստուգում), </w:t>
      </w:r>
    </w:p>
    <w:p w14:paraId="7AD9371C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>բ)</w:t>
      </w:r>
      <w:r w:rsidRPr="0036076F">
        <w:rPr>
          <w:rFonts w:ascii="GHEA Grapalat" w:eastAsia="Tahoma" w:hAnsi="GHEA Grapalat" w:cs="Tahoma"/>
          <w:sz w:val="24"/>
          <w:szCs w:val="24"/>
        </w:rPr>
        <w:tab/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խորհրդատվության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կամ ուղղորդման մեխանիզմ՝ պատասխանատու անձանց սահմանմամբ, </w:t>
      </w:r>
    </w:p>
    <w:p w14:paraId="7A2430D1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>գ)</w:t>
      </w:r>
      <w:r w:rsidRPr="0036076F">
        <w:rPr>
          <w:rFonts w:ascii="GHEA Grapalat" w:eastAsia="Tahoma" w:hAnsi="GHEA Grapalat" w:cs="Tahoma"/>
          <w:sz w:val="24"/>
          <w:szCs w:val="24"/>
        </w:rPr>
        <w:tab/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դիմումների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հաշվառում և անանունացված վիճակագրություն։ Խորհրդատվության ընթացքում արգելվում է շահառուին վնասող կամ չստուգված տեղեկությունների տրամադրումը։</w:t>
      </w:r>
    </w:p>
    <w:p w14:paraId="5971C7AC" w14:textId="77777777" w:rsidR="00337AF0" w:rsidRPr="0036076F" w:rsidRDefault="00337AF0" w:rsidP="00337AF0">
      <w:pPr>
        <w:numPr>
          <w:ilvl w:val="0"/>
          <w:numId w:val="11"/>
        </w:numPr>
        <w:spacing w:after="1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Բաց երիտասարդական կենտրոն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(Open Youth Center). Բաց երիտասարդական կենտրոնը երիտասարդների համար բաց և հասանելի ծառայությունների ձևաչափով գործող 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կ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ենտրոն է, որը ապահովում է ազատ այցելություն, ոչ ֆորմալ կրթության ծրագրեր, մասնակցային մեխանիզմներ և համայնքային ներգրավվածության հնարավորություններ։ Բաց կենտրոնը գործում է «ցածր շեմով» հասանելիության սկզբունքով՝ նվազեցնելով մասնակցության ձևական խոչընդոտները։ Բաց կենտրոնը պետք է ապահովի նվազագույնը՝ </w:t>
      </w:r>
    </w:p>
    <w:p w14:paraId="7D05F429" w14:textId="77777777" w:rsidR="00337AF0" w:rsidRPr="0036076F" w:rsidRDefault="00337AF0" w:rsidP="00337AF0">
      <w:pPr>
        <w:spacing w:after="120"/>
        <w:ind w:left="850" w:hanging="43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ա)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բաց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ժամեր և ընդունելության հստակ գրաֆիկ, </w:t>
      </w:r>
    </w:p>
    <w:p w14:paraId="6874D190" w14:textId="77777777" w:rsidR="00337AF0" w:rsidRPr="0036076F" w:rsidRDefault="00337AF0" w:rsidP="00337AF0">
      <w:pPr>
        <w:spacing w:after="120"/>
        <w:ind w:left="850" w:hanging="43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բ)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ոչ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ֆորմալ կրթության և խմբային աշխատանքների պարբերական ծրագրեր, </w:t>
      </w:r>
    </w:p>
    <w:p w14:paraId="64986723" w14:textId="77777777" w:rsidR="00337AF0" w:rsidRPr="0036076F" w:rsidRDefault="00337AF0" w:rsidP="00337AF0">
      <w:pPr>
        <w:spacing w:after="120"/>
        <w:ind w:left="850" w:hanging="43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գ)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երիտասարդների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նախաձեռնությունների աջակցման մեխանիզմ,</w:t>
      </w:r>
    </w:p>
    <w:p w14:paraId="45B9A426" w14:textId="77777777" w:rsidR="00337AF0" w:rsidRPr="0036076F" w:rsidRDefault="00337AF0" w:rsidP="00337AF0">
      <w:pPr>
        <w:spacing w:after="120"/>
        <w:ind w:left="855" w:hanging="43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դ)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ուղղորդման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նվազագույն մեխանիզմ՝ անհրաժեշտ ծառայությունների հասանելիության համար։ Բաց կենտրոնում ապահովվում են երիտասարդական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աշխատող(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>ներ)ի մշտական ներկայություն և ծառայության անվտանգ կազմակերպում։</w:t>
      </w:r>
    </w:p>
    <w:p w14:paraId="7DDB17FF" w14:textId="77777777" w:rsidR="00337AF0" w:rsidRPr="0036076F" w:rsidRDefault="00337AF0" w:rsidP="00337AF0">
      <w:pPr>
        <w:numPr>
          <w:ilvl w:val="0"/>
          <w:numId w:val="11"/>
        </w:numPr>
        <w:spacing w:after="1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Թեմատիկ երիտասարդական կենտրոն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(Thematic Youth Center). Սա երիտասարդական կենտրոնի տեսակ է, որի գործունեությունը կենտրոնացած է որոշակի թեմատիկ ուղղության (օրինակ՝ տեխնոլոգիական, բնապահպանական, ձեռնարկատիրական, արվեստի, մեդիա/թվային կարողունակությունների, կամավորության և այլն) վրա՝ միաժամանակ պահպանելով երիտասարդական աշխատանքի հիմնական սկզբունքները։ Թեմատիկ երիտասարդական կենտրոնը պետք է ապահովի՝ </w:t>
      </w:r>
    </w:p>
    <w:p w14:paraId="59349BCE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ա)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թեմատիկ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ծրագրերի պարբերականություն և շարունակականություն, </w:t>
      </w:r>
    </w:p>
    <w:p w14:paraId="524A0594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>բ)</w:t>
      </w:r>
      <w:r w:rsidRPr="0036076F">
        <w:rPr>
          <w:rFonts w:ascii="GHEA Grapalat" w:eastAsia="Tahoma" w:hAnsi="GHEA Grapalat" w:cs="Tahoma"/>
          <w:sz w:val="24"/>
          <w:szCs w:val="24"/>
        </w:rPr>
        <w:tab/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երիտասարդների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թեմատիկ նախաձեռնությունների և նախագծերի ներկայացման հնարավորություններ։</w:t>
      </w:r>
    </w:p>
    <w:p w14:paraId="7CC4CD23" w14:textId="77777777" w:rsidR="00337AF0" w:rsidRPr="0036076F" w:rsidRDefault="00337AF0" w:rsidP="00337AF0">
      <w:pPr>
        <w:numPr>
          <w:ilvl w:val="0"/>
          <w:numId w:val="11"/>
        </w:numPr>
        <w:spacing w:after="1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lastRenderedPageBreak/>
        <w:t>Սոցիալական երիտասարդական կենտրոն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(Social Youth Center). Սա երիտասարդական կենտրոնի տեսակ է, որը նպատակ ունի աջակցել կյանքի դժվարին, խոցելի իրավիճակում գտնվող երիտասարդների ներառմանը, սոցիալական ինտեգրմանը և ծառայությունների հասանելիությանը՝ տրամադրելով նպատակային սոցիալական աջակցություն և ուղեկցում։ Սոցիալական կենտրոնի գործունեությունը կարող է ներառել դեպքի վարում կամ համարժեք ուղեկցման մեխանիզմ՝ օրենսդրությամբ 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նախատեսված շրջանակներում</w:t>
      </w:r>
      <w:r w:rsidRPr="0036076F">
        <w:rPr>
          <w:rFonts w:ascii="GHEA Grapalat" w:eastAsia="Tahoma" w:hAnsi="GHEA Grapalat" w:cs="Tahoma"/>
          <w:sz w:val="24"/>
          <w:szCs w:val="24"/>
        </w:rPr>
        <w:t>։</w:t>
      </w:r>
    </w:p>
    <w:p w14:paraId="24FEB7C5" w14:textId="77777777" w:rsidR="00337AF0" w:rsidRPr="0036076F" w:rsidRDefault="00337AF0" w:rsidP="00337AF0">
      <w:pPr>
        <w:numPr>
          <w:ilvl w:val="0"/>
          <w:numId w:val="11"/>
        </w:numPr>
        <w:spacing w:after="1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Երիտասարդական տարածք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(Youth Space). Երիտասարդական տարածքը 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երիտասարդական կ</w:t>
      </w:r>
      <w:r w:rsidRPr="0036076F">
        <w:rPr>
          <w:rFonts w:ascii="GHEA Grapalat" w:eastAsia="Tahoma" w:hAnsi="GHEA Grapalat" w:cs="Tahoma"/>
          <w:sz w:val="24"/>
          <w:szCs w:val="24"/>
        </w:rPr>
        <w:t>ենտրոնի այն տեսակն է, որի առաջնային գործառույթը երիտասարդների համար անվտանգ, վերահսկելի և հասանելի միջավայրի ապահովումն է՝ մեծամասամբ երիտասարդների կողմից ինքնուրույն, հազվադեպ՝ ուղեկցվող գործունեությունների համար։ Երիտասարդական տարածքը կարող է գործել որպես ինքնուրույն միավոր կամ որպես կրթական, սոցիալական, մշակութային և այլ հաստատության բաղադրիչ։</w:t>
      </w:r>
    </w:p>
    <w:p w14:paraId="5ADCC460" w14:textId="77777777" w:rsidR="00337AF0" w:rsidRPr="0036076F" w:rsidRDefault="00337AF0" w:rsidP="00337AF0">
      <w:pPr>
        <w:numPr>
          <w:ilvl w:val="0"/>
          <w:numId w:val="11"/>
        </w:numPr>
        <w:spacing w:after="1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076F">
        <w:rPr>
          <w:rFonts w:ascii="GHEA Grapalat" w:eastAsia="Tahoma" w:hAnsi="GHEA Grapalat" w:cs="Tahoma"/>
          <w:b/>
          <w:bCs/>
          <w:sz w:val="24"/>
          <w:szCs w:val="24"/>
        </w:rPr>
        <w:t>Միջազգային երիտասարդական կենտրոն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(International Youth Center). Սա երիտասարդական կենտրոնի տեսակ է, որ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ի առաջնային նպատակը</w:t>
      </w:r>
      <w:r w:rsidRPr="0036076F">
        <w:rPr>
          <w:rFonts w:ascii="GHEA Grapalat" w:eastAsia="Tahoma" w:hAnsi="GHEA Grapalat" w:cs="Tahoma"/>
          <w:sz w:val="24"/>
          <w:szCs w:val="24"/>
        </w:rPr>
        <w:t xml:space="preserve"> միջազգային երիտասարդական համագործակցության, միջմշակութային ուսուցման և միջազգային ծրագրերի իրականաց</w:t>
      </w:r>
      <w:r w:rsidRPr="0036076F">
        <w:rPr>
          <w:rFonts w:ascii="GHEA Grapalat" w:eastAsia="Tahoma" w:hAnsi="GHEA Grapalat" w:cs="Tahoma"/>
          <w:sz w:val="24"/>
          <w:szCs w:val="24"/>
          <w:lang w:val="hy-AM"/>
        </w:rPr>
        <w:t>ումն է</w:t>
      </w:r>
      <w:r w:rsidRPr="0036076F">
        <w:rPr>
          <w:rFonts w:ascii="GHEA Grapalat" w:eastAsia="Tahoma" w:hAnsi="GHEA Grapalat" w:cs="Tahoma"/>
          <w:sz w:val="24"/>
          <w:szCs w:val="24"/>
        </w:rPr>
        <w:t>՝ ընդունելով մասնակիցներ և/կամ գործընկեր կառույցներ տարբեր երկրներից։ Միջազգային երիտասարդական կենտրոնը կարող է ունենալ միջազգային ճանաչում կամ որակի պիտակ (Quality Label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)՝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սահմանված կարգով, ինչպես նաև գործել միջազգային ցանցերի կամ ծրագրերի շրջանակում։ Միջազգային երիտասարդական կենտրոնն իրականացնում է՝ </w:t>
      </w:r>
    </w:p>
    <w:p w14:paraId="62667F79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>ա)</w:t>
      </w:r>
      <w:r w:rsidRPr="0036076F">
        <w:rPr>
          <w:rFonts w:ascii="GHEA Grapalat" w:eastAsia="Tahoma" w:hAnsi="GHEA Grapalat" w:cs="Tahoma"/>
          <w:sz w:val="24"/>
          <w:szCs w:val="24"/>
        </w:rPr>
        <w:tab/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միջազգային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ուսուցման, փոխանակումների, կամավորական և համագործակցային ծրագրերի կազմակերպում, </w:t>
      </w:r>
    </w:p>
    <w:p w14:paraId="113534AE" w14:textId="77777777" w:rsidR="00337AF0" w:rsidRPr="0036076F" w:rsidRDefault="00337AF0" w:rsidP="00337AF0">
      <w:pPr>
        <w:spacing w:after="120"/>
        <w:ind w:left="850" w:hanging="425"/>
        <w:jc w:val="both"/>
        <w:rPr>
          <w:rFonts w:ascii="GHEA Grapalat" w:eastAsia="Arial" w:hAnsi="GHEA Grapalat" w:cs="Arial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 xml:space="preserve">բ) </w:t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միջազգային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շարժունակության (mobility) աջակցության տեղեկատվական և կազմակերպչական ծառայություններ, </w:t>
      </w:r>
    </w:p>
    <w:p w14:paraId="4132A405" w14:textId="77777777" w:rsidR="00337AF0" w:rsidRDefault="00337AF0" w:rsidP="00337AF0">
      <w:pPr>
        <w:spacing w:after="120"/>
        <w:ind w:left="850" w:hanging="425"/>
        <w:jc w:val="both"/>
        <w:rPr>
          <w:rFonts w:ascii="GHEA Grapalat" w:eastAsia="Tahoma" w:hAnsi="GHEA Grapalat" w:cs="Tahoma"/>
          <w:sz w:val="24"/>
          <w:szCs w:val="24"/>
        </w:rPr>
      </w:pPr>
      <w:r w:rsidRPr="0036076F">
        <w:rPr>
          <w:rFonts w:ascii="GHEA Grapalat" w:eastAsia="Tahoma" w:hAnsi="GHEA Grapalat" w:cs="Tahoma"/>
          <w:sz w:val="24"/>
          <w:szCs w:val="24"/>
        </w:rPr>
        <w:t>գ)</w:t>
      </w:r>
      <w:r w:rsidRPr="0036076F">
        <w:rPr>
          <w:rFonts w:ascii="GHEA Grapalat" w:eastAsia="Tahoma" w:hAnsi="GHEA Grapalat" w:cs="Tahoma"/>
          <w:sz w:val="24"/>
          <w:szCs w:val="24"/>
        </w:rPr>
        <w:tab/>
      </w:r>
      <w:proofErr w:type="gramStart"/>
      <w:r w:rsidRPr="0036076F">
        <w:rPr>
          <w:rFonts w:ascii="GHEA Grapalat" w:eastAsia="Tahoma" w:hAnsi="GHEA Grapalat" w:cs="Tahoma"/>
          <w:sz w:val="24"/>
          <w:szCs w:val="24"/>
        </w:rPr>
        <w:t>միջմշակութային</w:t>
      </w:r>
      <w:proofErr w:type="gramEnd"/>
      <w:r w:rsidRPr="0036076F">
        <w:rPr>
          <w:rFonts w:ascii="GHEA Grapalat" w:eastAsia="Tahoma" w:hAnsi="GHEA Grapalat" w:cs="Tahoma"/>
          <w:sz w:val="24"/>
          <w:szCs w:val="24"/>
        </w:rPr>
        <w:t xml:space="preserve"> հաղորդակցության, մարդու իրավունքների, ժողովրդավարական մասնակցության և այլ ուղղվածությամբ կրթական ծրագրեր՝ ըստ Կենտրոնի ծրագրային ուղղությունների։ Կենտրոնը պետք է ապահովի նաև տեղական երիտասարդների ներգրավվածություն և միջազգային ծրագրերից բխող օգտակար փորձի տեղայնացում՝ սույն կարգի նպատակներին համապատասխան։</w:t>
      </w:r>
    </w:p>
    <w:p w14:paraId="6D048AFF" w14:textId="77777777" w:rsidR="00943741" w:rsidRPr="0036076F" w:rsidRDefault="00943741" w:rsidP="00337AF0">
      <w:pPr>
        <w:spacing w:after="120"/>
        <w:ind w:left="850" w:hanging="425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14:paraId="15EF99FB" w14:textId="77777777" w:rsidR="00291A96" w:rsidRPr="00291A96" w:rsidRDefault="00291A96" w:rsidP="00291A96">
      <w:pPr>
        <w:numPr>
          <w:ilvl w:val="0"/>
          <w:numId w:val="1"/>
        </w:numPr>
        <w:spacing w:after="120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/>
        </w:rPr>
      </w:pPr>
      <w:r w:rsidRPr="00291A96">
        <w:rPr>
          <w:rFonts w:ascii="GHEA Grapalat" w:hAnsi="GHEA Grapalat"/>
          <w:b/>
          <w:sz w:val="24"/>
          <w:szCs w:val="24"/>
        </w:rPr>
        <w:lastRenderedPageBreak/>
        <w:t>ԵՐԻՏԱՍԱՐԴԱԿԱՆ ԿԵՆՏՐՈՆՆԵՐԻ ԳՈՐԾԱՌՈՒՅԹՆԵՐԸ</w:t>
      </w:r>
    </w:p>
    <w:p w14:paraId="23F3020F" w14:textId="77777777" w:rsidR="00291A96" w:rsidRPr="00291A96" w:rsidRDefault="00291A96" w:rsidP="00291A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291A96">
        <w:rPr>
          <w:rFonts w:ascii="GHEA Grapalat" w:eastAsia="Tahoma" w:hAnsi="GHEA Grapalat" w:cs="Tahoma"/>
          <w:sz w:val="24"/>
          <w:szCs w:val="24"/>
          <w:lang w:val="hy-AM"/>
        </w:rPr>
        <w:t>Երիտասարդական</w:t>
      </w:r>
      <w:r w:rsidRPr="00291A96">
        <w:rPr>
          <w:rFonts w:ascii="GHEA Grapalat" w:hAnsi="GHEA Grapalat"/>
          <w:sz w:val="24"/>
          <w:szCs w:val="24"/>
        </w:rPr>
        <w:t xml:space="preserve"> կենտրոնները իրենց նպատակների և խնդիրների իրականացման շրջանակում՝ </w:t>
      </w:r>
    </w:p>
    <w:p w14:paraId="1E2E5E57" w14:textId="1F1EDDCF" w:rsidR="00291A96" w:rsidRPr="00291A96" w:rsidRDefault="00291A96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291A96">
        <w:rPr>
          <w:rFonts w:ascii="GHEA Grapalat" w:hAnsi="GHEA Grapalat"/>
          <w:sz w:val="24"/>
          <w:szCs w:val="24"/>
        </w:rPr>
        <w:t xml:space="preserve">կազմակերպում և իրականացնում են կրթական, մշակութային, սոցիալական և այլ ծրագրեր, </w:t>
      </w:r>
    </w:p>
    <w:p w14:paraId="4B6E6820" w14:textId="4F841378" w:rsidR="00291A96" w:rsidRPr="002F29FB" w:rsidRDefault="00291A96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2F29FB">
        <w:rPr>
          <w:rFonts w:ascii="GHEA Grapalat" w:hAnsi="GHEA Grapalat"/>
          <w:sz w:val="24"/>
          <w:szCs w:val="24"/>
        </w:rPr>
        <w:t xml:space="preserve">իրականացնում են երիտասարդական աշխատանք՝ հիմնված ոչ ֆորմալ կրթության սկզբունքների վրա, </w:t>
      </w:r>
    </w:p>
    <w:p w14:paraId="659D7CBF" w14:textId="4C2053B0" w:rsidR="00291A96" w:rsidRPr="002F29FB" w:rsidRDefault="002F29FB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2F29FB">
        <w:rPr>
          <w:rFonts w:ascii="GHEA Grapalat" w:hAnsi="GHEA Grapalat"/>
          <w:sz w:val="24"/>
          <w:szCs w:val="24"/>
        </w:rPr>
        <w:t>երիտասարդներին</w:t>
      </w:r>
      <w:r w:rsidRPr="002F29FB">
        <w:rPr>
          <w:rFonts w:ascii="GHEA Grapalat" w:hAnsi="GHEA Grapalat"/>
          <w:sz w:val="24"/>
          <w:szCs w:val="24"/>
        </w:rPr>
        <w:t xml:space="preserve"> </w:t>
      </w:r>
      <w:r w:rsidR="00291A96" w:rsidRPr="002F29FB">
        <w:rPr>
          <w:rFonts w:ascii="GHEA Grapalat" w:hAnsi="GHEA Grapalat"/>
          <w:sz w:val="24"/>
          <w:szCs w:val="24"/>
        </w:rPr>
        <w:t xml:space="preserve">տրամադրում են տեղեկատվական և խորհրդատվական ծառայություններ, </w:t>
      </w:r>
    </w:p>
    <w:p w14:paraId="65C7A585" w14:textId="0F275B72" w:rsidR="00291A96" w:rsidRPr="00291A96" w:rsidRDefault="00291A96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291A96">
        <w:rPr>
          <w:rFonts w:ascii="GHEA Grapalat" w:hAnsi="GHEA Grapalat"/>
          <w:sz w:val="24"/>
          <w:szCs w:val="24"/>
        </w:rPr>
        <w:t xml:space="preserve">ապահովում են երիտասարդների մասնակցությունը տարբեր նախաձեռնություններին և ծրագրերին, </w:t>
      </w:r>
    </w:p>
    <w:p w14:paraId="3725BC01" w14:textId="71ECDB77" w:rsidR="00291A96" w:rsidRPr="00291A96" w:rsidRDefault="00291A96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291A96">
        <w:rPr>
          <w:rFonts w:ascii="GHEA Grapalat" w:hAnsi="GHEA Grapalat"/>
          <w:sz w:val="24"/>
          <w:szCs w:val="24"/>
        </w:rPr>
        <w:t xml:space="preserve">ստեղծում են հարթակներ երիտասարդների ինքնարտահայտման, գաղափարների զարգացման և նախաձեռնությունների իրականացման համար, </w:t>
      </w:r>
    </w:p>
    <w:p w14:paraId="3DAA404A" w14:textId="66797FB3" w:rsidR="00291A96" w:rsidRPr="00291A96" w:rsidRDefault="00291A96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291A96">
        <w:rPr>
          <w:rFonts w:ascii="GHEA Grapalat" w:hAnsi="GHEA Grapalat"/>
          <w:sz w:val="24"/>
          <w:szCs w:val="24"/>
        </w:rPr>
        <w:t xml:space="preserve">համագործակցում են պետական և տեղական ինքնակառավարման մարմինների, ինչպես նաև այլ կազմակերպությունների հետ, </w:t>
      </w:r>
    </w:p>
    <w:p w14:paraId="47712D20" w14:textId="37ED90F8" w:rsidR="00291A96" w:rsidRPr="00291A96" w:rsidRDefault="00291A96" w:rsidP="00291A9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291A96">
        <w:rPr>
          <w:rFonts w:ascii="GHEA Grapalat" w:hAnsi="GHEA Grapalat"/>
          <w:sz w:val="24"/>
          <w:szCs w:val="24"/>
        </w:rPr>
        <w:t>ապահովում</w:t>
      </w:r>
      <w:proofErr w:type="gramEnd"/>
      <w:r w:rsidRPr="00291A96">
        <w:rPr>
          <w:rFonts w:ascii="GHEA Grapalat" w:hAnsi="GHEA Grapalat"/>
          <w:sz w:val="24"/>
          <w:szCs w:val="24"/>
        </w:rPr>
        <w:t xml:space="preserve"> են երիտասարդների անվտանգ և աջակցող միջավայր։</w:t>
      </w:r>
    </w:p>
    <w:p w14:paraId="1E4FD566" w14:textId="5A61CEAA" w:rsidR="00917263" w:rsidRPr="00917263" w:rsidRDefault="00917263" w:rsidP="00917263">
      <w:pPr>
        <w:numPr>
          <w:ilvl w:val="0"/>
          <w:numId w:val="1"/>
        </w:numPr>
        <w:spacing w:after="120"/>
        <w:jc w:val="center"/>
        <w:rPr>
          <w:rFonts w:ascii="GHEA Grapalat" w:hAnsi="GHEA Grapalat"/>
          <w:b/>
          <w:sz w:val="24"/>
          <w:szCs w:val="24"/>
        </w:rPr>
      </w:pPr>
      <w:r w:rsidRPr="00917263">
        <w:rPr>
          <w:rFonts w:ascii="GHEA Grapalat" w:hAnsi="GHEA Grapalat"/>
          <w:b/>
          <w:sz w:val="24"/>
          <w:szCs w:val="24"/>
        </w:rPr>
        <w:t>ՄՈՆԻԹՈՐԻՆԳ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 w:rsidRPr="00917263">
        <w:rPr>
          <w:rFonts w:ascii="GHEA Grapalat" w:hAnsi="GHEA Grapalat"/>
          <w:b/>
          <w:sz w:val="24"/>
          <w:szCs w:val="24"/>
        </w:rPr>
        <w:t xml:space="preserve"> ԵՎ ԳՆԱՀԱՏՈՒՄ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7BA677E" w14:textId="77777777" w:rsidR="00917263" w:rsidRPr="00917263" w:rsidRDefault="00917263" w:rsidP="0091726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>Երիտասարդական կենտրոնները իրականացնում են իրենց գործունեության պարբերական մոնիթորինգ և գնահատում՝ ապահովելու ծրագրերի արդյունավետությունը, որակը և շարունակական բարելավումը։</w:t>
      </w:r>
    </w:p>
    <w:p w14:paraId="45214AE1" w14:textId="77777777" w:rsidR="00917263" w:rsidRPr="00917263" w:rsidRDefault="00917263" w:rsidP="0091726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>Մոնիթորինգի և գնահատման նպատակն է՝</w:t>
      </w:r>
    </w:p>
    <w:p w14:paraId="29426831" w14:textId="77777777" w:rsidR="00917263" w:rsidRPr="00917263" w:rsidRDefault="00917263" w:rsidP="0091726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 xml:space="preserve">գնահատել իրականացվող ծրագրերի համապատասխանությունը սահմանված նպատակներին և խնդիրներին, </w:t>
      </w:r>
    </w:p>
    <w:p w14:paraId="73A3DA18" w14:textId="77777777" w:rsidR="00917263" w:rsidRPr="00917263" w:rsidRDefault="00917263" w:rsidP="0091726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 xml:space="preserve">բացահայտել ձեռքբերումներն ու բարելավման կարիք ունեցող ուղղությունները, </w:t>
      </w:r>
    </w:p>
    <w:p w14:paraId="6FF2B0B2" w14:textId="77777777" w:rsidR="00917263" w:rsidRPr="00917263" w:rsidRDefault="00917263" w:rsidP="0091726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 xml:space="preserve">ապահովել երիտասարդների կարիքներին արձագանքող և տվյալահեն ծրագրերի մշակում, </w:t>
      </w:r>
    </w:p>
    <w:p w14:paraId="4C717EBF" w14:textId="77777777" w:rsidR="00917263" w:rsidRPr="00917263" w:rsidRDefault="00917263" w:rsidP="0091726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917263">
        <w:rPr>
          <w:rFonts w:ascii="GHEA Grapalat" w:hAnsi="GHEA Grapalat"/>
          <w:sz w:val="24"/>
          <w:szCs w:val="24"/>
        </w:rPr>
        <w:t>բարձրացնել</w:t>
      </w:r>
      <w:proofErr w:type="gramEnd"/>
      <w:r w:rsidRPr="00917263">
        <w:rPr>
          <w:rFonts w:ascii="GHEA Grapalat" w:hAnsi="GHEA Grapalat"/>
          <w:sz w:val="24"/>
          <w:szCs w:val="24"/>
        </w:rPr>
        <w:t xml:space="preserve"> գործունեության թափանցիկությունն ու հաշվետվողականությունը։ </w:t>
      </w:r>
    </w:p>
    <w:p w14:paraId="39183663" w14:textId="77777777" w:rsidR="00917263" w:rsidRPr="00917263" w:rsidRDefault="00917263" w:rsidP="0091726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>Մոնիթորինգի և գնահատման արդյունքները օգտագործվում են՝</w:t>
      </w:r>
    </w:p>
    <w:p w14:paraId="70EB3500" w14:textId="77777777" w:rsidR="00917263" w:rsidRPr="00917263" w:rsidRDefault="00917263" w:rsidP="0091726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 xml:space="preserve">ծրագրերի և ծառայությունների կատարելագործման համար, </w:t>
      </w:r>
    </w:p>
    <w:p w14:paraId="0A5D3451" w14:textId="77777777" w:rsidR="00917263" w:rsidRPr="00917263" w:rsidRDefault="00917263" w:rsidP="0091726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t xml:space="preserve">ռազմավարական և գործառնական պլանավորման գործընթացներում, </w:t>
      </w:r>
    </w:p>
    <w:p w14:paraId="34ACCFE2" w14:textId="77777777" w:rsidR="00917263" w:rsidRPr="00917263" w:rsidRDefault="00917263" w:rsidP="0091726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r w:rsidRPr="00917263">
        <w:rPr>
          <w:rFonts w:ascii="GHEA Grapalat" w:hAnsi="GHEA Grapalat"/>
          <w:sz w:val="24"/>
          <w:szCs w:val="24"/>
        </w:rPr>
        <w:lastRenderedPageBreak/>
        <w:t xml:space="preserve">երիտասարդների կարիքների ավելի արդյունավետ արձագանքման նպատակով, </w:t>
      </w:r>
    </w:p>
    <w:p w14:paraId="64AFDD60" w14:textId="77777777" w:rsidR="00917263" w:rsidRPr="00917263" w:rsidRDefault="00917263" w:rsidP="0091726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917263">
        <w:rPr>
          <w:rFonts w:ascii="GHEA Grapalat" w:hAnsi="GHEA Grapalat"/>
          <w:sz w:val="24"/>
          <w:szCs w:val="24"/>
        </w:rPr>
        <w:t>շահագրգիռ</w:t>
      </w:r>
      <w:proofErr w:type="gramEnd"/>
      <w:r w:rsidRPr="00917263">
        <w:rPr>
          <w:rFonts w:ascii="GHEA Grapalat" w:hAnsi="GHEA Grapalat"/>
          <w:sz w:val="24"/>
          <w:szCs w:val="24"/>
        </w:rPr>
        <w:t xml:space="preserve"> կողմերին տեղեկատվություն տրամադրելու և հաշվետվություններ ներկայացնելու համար։</w:t>
      </w:r>
    </w:p>
    <w:p w14:paraId="549DD85B" w14:textId="77777777" w:rsidR="00620A89" w:rsidRPr="00291A96" w:rsidRDefault="00620A89" w:rsidP="00620A8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HEA Grapalat" w:eastAsia="Tahoma" w:hAnsi="GHEA Grapalat" w:cs="Tahoma"/>
          <w:sz w:val="24"/>
          <w:szCs w:val="24"/>
        </w:rPr>
      </w:pPr>
    </w:p>
    <w:sectPr w:rsidR="00620A89" w:rsidRPr="0029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636E"/>
    <w:multiLevelType w:val="multilevel"/>
    <w:tmpl w:val="99689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FEE"/>
    <w:multiLevelType w:val="hybridMultilevel"/>
    <w:tmpl w:val="FC5E2CA8"/>
    <w:lvl w:ilvl="0" w:tplc="A7B2D6D8">
      <w:start w:val="1"/>
      <w:numFmt w:val="decimal"/>
      <w:lvlText w:val="%1)"/>
      <w:lvlJc w:val="left"/>
      <w:pPr>
        <w:ind w:left="720" w:hanging="360"/>
      </w:pPr>
      <w:rPr>
        <w:rFonts w:ascii="GHEA Grapalat" w:eastAsia="Cambria" w:hAnsi="GHEA Grapalat" w:cs="Cambr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3D7E"/>
    <w:multiLevelType w:val="multilevel"/>
    <w:tmpl w:val="B168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22339"/>
    <w:multiLevelType w:val="hybridMultilevel"/>
    <w:tmpl w:val="959AD2EC"/>
    <w:lvl w:ilvl="0" w:tplc="1DCC91AA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994123E"/>
    <w:multiLevelType w:val="multilevel"/>
    <w:tmpl w:val="14601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56F56"/>
    <w:multiLevelType w:val="multilevel"/>
    <w:tmpl w:val="179888B6"/>
    <w:lvl w:ilvl="0">
      <w:start w:val="1"/>
      <w:numFmt w:val="upperRoman"/>
      <w:lvlText w:val="%1."/>
      <w:lvlJc w:val="right"/>
      <w:pPr>
        <w:ind w:left="0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D313F0D"/>
    <w:multiLevelType w:val="multilevel"/>
    <w:tmpl w:val="3B14C7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F5051"/>
    <w:multiLevelType w:val="hybridMultilevel"/>
    <w:tmpl w:val="E59E7C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096E3A"/>
    <w:multiLevelType w:val="multilevel"/>
    <w:tmpl w:val="F444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706B3"/>
    <w:multiLevelType w:val="hybridMultilevel"/>
    <w:tmpl w:val="783AA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84B"/>
    <w:multiLevelType w:val="hybridMultilevel"/>
    <w:tmpl w:val="93803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5CB5"/>
    <w:multiLevelType w:val="multilevel"/>
    <w:tmpl w:val="9CE69A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3222B7"/>
    <w:multiLevelType w:val="multilevel"/>
    <w:tmpl w:val="0DE0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10148"/>
    <w:multiLevelType w:val="multilevel"/>
    <w:tmpl w:val="C4AEEBA4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6983F72"/>
    <w:multiLevelType w:val="multilevel"/>
    <w:tmpl w:val="8BD4C5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mbria" w:hAnsi="GHEA Grapalat" w:cs="Cambr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D11DE"/>
    <w:multiLevelType w:val="multilevel"/>
    <w:tmpl w:val="348C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D1DE3"/>
    <w:multiLevelType w:val="multilevel"/>
    <w:tmpl w:val="A30219A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bCs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D261DB8"/>
    <w:multiLevelType w:val="multilevel"/>
    <w:tmpl w:val="C1A8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6746C"/>
    <w:multiLevelType w:val="multilevel"/>
    <w:tmpl w:val="604A82F0"/>
    <w:lvl w:ilvl="0">
      <w:start w:val="1"/>
      <w:numFmt w:val="decimal"/>
      <w:lvlText w:val="%1)"/>
      <w:lvlJc w:val="left"/>
      <w:pPr>
        <w:ind w:left="-90" w:firstLine="450"/>
      </w:pPr>
      <w:rPr>
        <w:rFonts w:ascii="Arial" w:eastAsia="Arial" w:hAnsi="Arial" w:cs="Arial"/>
        <w:b/>
        <w:bCs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733289A"/>
    <w:multiLevelType w:val="hybridMultilevel"/>
    <w:tmpl w:val="359E5C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AB29476">
      <w:start w:val="1"/>
      <w:numFmt w:val="decimal"/>
      <w:lvlText w:val="%2)"/>
      <w:lvlJc w:val="left"/>
      <w:pPr>
        <w:ind w:left="1440" w:hanging="360"/>
      </w:pPr>
      <w:rPr>
        <w:rFonts w:ascii="GHEA Grapalat" w:eastAsia="Cambria" w:hAnsi="GHEA Grapalat" w:cs="Cambr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15DCB"/>
    <w:multiLevelType w:val="multilevel"/>
    <w:tmpl w:val="1A0E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B2630"/>
    <w:multiLevelType w:val="multilevel"/>
    <w:tmpl w:val="956A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75EE3"/>
    <w:multiLevelType w:val="hybridMultilevel"/>
    <w:tmpl w:val="E59E7C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AEA0254"/>
    <w:multiLevelType w:val="multilevel"/>
    <w:tmpl w:val="0AEC75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4112BC2"/>
    <w:multiLevelType w:val="multilevel"/>
    <w:tmpl w:val="CADA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002A6"/>
    <w:multiLevelType w:val="multilevel"/>
    <w:tmpl w:val="7540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B05E5"/>
    <w:multiLevelType w:val="multilevel"/>
    <w:tmpl w:val="AB0C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6"/>
  </w:num>
  <w:num w:numId="5">
    <w:abstractNumId w:val="25"/>
  </w:num>
  <w:num w:numId="6">
    <w:abstractNumId w:val="2"/>
  </w:num>
  <w:num w:numId="7">
    <w:abstractNumId w:val="24"/>
  </w:num>
  <w:num w:numId="8">
    <w:abstractNumId w:val="15"/>
  </w:num>
  <w:num w:numId="9">
    <w:abstractNumId w:val="20"/>
  </w:num>
  <w:num w:numId="10">
    <w:abstractNumId w:val="11"/>
  </w:num>
  <w:num w:numId="11">
    <w:abstractNumId w:val="18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0"/>
  </w:num>
  <w:num w:numId="21">
    <w:abstractNumId w:val="19"/>
  </w:num>
  <w:num w:numId="22">
    <w:abstractNumId w:val="6"/>
  </w:num>
  <w:num w:numId="23">
    <w:abstractNumId w:val="19"/>
    <w:lvlOverride w:ilvl="0">
      <w:lvl w:ilvl="0" w:tplc="04090011">
        <w:start w:val="1"/>
        <w:numFmt w:val="decimal"/>
        <w:lvlText w:val="%1)"/>
        <w:lvlJc w:val="left"/>
        <w:pPr>
          <w:ind w:left="1440" w:hanging="360"/>
        </w:pPr>
        <w:rPr>
          <w:rFonts w:ascii="GHEA Grapalat" w:eastAsia="Cambria" w:hAnsi="GHEA Grapalat" w:cs="Cambria" w:hint="default"/>
        </w:rPr>
      </w:lvl>
    </w:lvlOverride>
    <w:lvlOverride w:ilvl="1">
      <w:lvl w:ilvl="1" w:tplc="DAB2947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</w:num>
  <w:num w:numId="25">
    <w:abstractNumId w:val="12"/>
  </w:num>
  <w:num w:numId="26">
    <w:abstractNumId w:val="21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9"/>
    <w:rsid w:val="00291A96"/>
    <w:rsid w:val="002F29FB"/>
    <w:rsid w:val="00337AF0"/>
    <w:rsid w:val="00344D06"/>
    <w:rsid w:val="0036076F"/>
    <w:rsid w:val="003955FA"/>
    <w:rsid w:val="004379DC"/>
    <w:rsid w:val="004A2A08"/>
    <w:rsid w:val="004F71D8"/>
    <w:rsid w:val="005152AE"/>
    <w:rsid w:val="005724A2"/>
    <w:rsid w:val="00587208"/>
    <w:rsid w:val="005F4136"/>
    <w:rsid w:val="00620A89"/>
    <w:rsid w:val="006D20AA"/>
    <w:rsid w:val="00755A23"/>
    <w:rsid w:val="00792039"/>
    <w:rsid w:val="007B7F89"/>
    <w:rsid w:val="008F1C97"/>
    <w:rsid w:val="009070E2"/>
    <w:rsid w:val="00917263"/>
    <w:rsid w:val="00925E63"/>
    <w:rsid w:val="00943741"/>
    <w:rsid w:val="009A47F3"/>
    <w:rsid w:val="00A20FDC"/>
    <w:rsid w:val="00A31D2D"/>
    <w:rsid w:val="00AC2180"/>
    <w:rsid w:val="00B73CB8"/>
    <w:rsid w:val="00BC2BC5"/>
    <w:rsid w:val="00C42929"/>
    <w:rsid w:val="00C9007F"/>
    <w:rsid w:val="00D83E19"/>
    <w:rsid w:val="00DC66FF"/>
    <w:rsid w:val="00E216B6"/>
    <w:rsid w:val="00EA613D"/>
    <w:rsid w:val="00F05002"/>
    <w:rsid w:val="00F169B7"/>
    <w:rsid w:val="00F1737A"/>
    <w:rsid w:val="00F60990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83BA"/>
  <w15:chartTrackingRefBased/>
  <w15:docId w15:val="{5FBC2E00-DC1C-4294-95DE-D09643BE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69B7"/>
    <w:pPr>
      <w:spacing w:after="200" w:line="276" w:lineRule="auto"/>
    </w:pPr>
    <w:rPr>
      <w:rFonts w:ascii="Cambria" w:eastAsia="Cambria" w:hAnsi="Cambria" w:cs="Cambria"/>
      <w:lang w:val="en"/>
    </w:rPr>
  </w:style>
  <w:style w:type="paragraph" w:styleId="Heading2">
    <w:name w:val="heading 2"/>
    <w:basedOn w:val="Normal"/>
    <w:link w:val="Heading2Char"/>
    <w:uiPriority w:val="9"/>
    <w:qFormat/>
    <w:rsid w:val="00F6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FDC"/>
    <w:rPr>
      <w:rFonts w:ascii="Segoe UI" w:eastAsia="Cambria" w:hAnsi="Segoe UI" w:cs="Segoe UI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F609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0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NormalWeb">
    <w:name w:val="Normal (Web)"/>
    <w:basedOn w:val="Normal"/>
    <w:uiPriority w:val="99"/>
    <w:semiHidden/>
    <w:unhideWhenUsed/>
    <w:rsid w:val="00A3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7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2026-03-29T08:07:00Z</dcterms:created>
  <dcterms:modified xsi:type="dcterms:W3CDTF">2026-03-31T11:52:00Z</dcterms:modified>
</cp:coreProperties>
</file>