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D47CF" w14:textId="4B5F1705" w:rsidR="00461C38" w:rsidRDefault="00461C38" w:rsidP="00DD7AF5">
      <w:pPr>
        <w:tabs>
          <w:tab w:val="left" w:pos="10206"/>
        </w:tabs>
        <w:spacing w:line="36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ՆԱԽԱԳԻԾ</w:t>
      </w:r>
      <w:r>
        <w:rPr>
          <w:rFonts w:ascii="GHEA Grapalat" w:hAnsi="GHEA Grapalat"/>
          <w:b/>
          <w:noProof/>
          <w:lang w:val="hy-AM"/>
        </w:rPr>
        <w:drawing>
          <wp:anchor distT="0" distB="0" distL="0" distR="0" simplePos="0" relativeHeight="2" behindDoc="0" locked="0" layoutInCell="0" allowOverlap="1" wp14:anchorId="403DD219" wp14:editId="6AEE8E65">
            <wp:simplePos x="0" y="0"/>
            <wp:positionH relativeFrom="margin">
              <wp:posOffset>2520315</wp:posOffset>
            </wp:positionH>
            <wp:positionV relativeFrom="margin">
              <wp:posOffset>590550</wp:posOffset>
            </wp:positionV>
            <wp:extent cx="1334770" cy="11582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6A57D" w14:textId="434F9539" w:rsidR="007D34B3" w:rsidRDefault="00461C38" w:rsidP="00461C38">
      <w:pPr>
        <w:tabs>
          <w:tab w:val="left" w:pos="10206"/>
        </w:tabs>
        <w:spacing w:line="360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</w:t>
      </w:r>
    </w:p>
    <w:p w14:paraId="38F781C1" w14:textId="77777777" w:rsidR="007D34B3" w:rsidRDefault="007D34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0A399EAF" w14:textId="77777777" w:rsidR="007D34B3" w:rsidRDefault="007D34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5F8963AF" w14:textId="77777777" w:rsidR="007D34B3" w:rsidRDefault="007D34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4C20EAF" w14:textId="77777777" w:rsidR="007D34B3" w:rsidRDefault="007D34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13BA2ED0" w14:textId="77777777" w:rsidR="007D34B3" w:rsidRDefault="00F6251A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</w:p>
    <w:p w14:paraId="30FF6945" w14:textId="70710374" w:rsidR="007D34B3" w:rsidRPr="009463C4" w:rsidRDefault="00F6251A" w:rsidP="009463C4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ԷԿՈՆՈՄԻԿԱՅԻ ՆԱԽԱՐԱՐ</w:t>
      </w:r>
    </w:p>
    <w:p w14:paraId="517656CE" w14:textId="77777777" w:rsidR="007D34B3" w:rsidRDefault="00F6251A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 Ր Ա Մ Ա Ն </w:t>
      </w:r>
    </w:p>
    <w:p w14:paraId="43ECF567" w14:textId="77777777" w:rsidR="007D34B3" w:rsidRDefault="007D34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48F3EB7" w14:textId="0F29E4D9" w:rsidR="007D34B3" w:rsidRDefault="00F6251A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․Երևան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«____»_____________202</w:t>
      </w:r>
      <w:r w:rsidR="001946CC"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hy-AM"/>
        </w:rPr>
        <w:t>թ N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o</w:t>
      </w:r>
      <w:r>
        <w:rPr>
          <w:rFonts w:ascii="GHEA Grapalat" w:hAnsi="GHEA Grapalat"/>
          <w:sz w:val="20"/>
          <w:szCs w:val="20"/>
          <w:lang w:val="hy-AM"/>
        </w:rPr>
        <w:t>_______</w:t>
      </w:r>
      <w:r w:rsidR="007B3C83">
        <w:rPr>
          <w:rFonts w:ascii="GHEA Grapalat" w:hAnsi="GHEA Grapalat"/>
          <w:sz w:val="20"/>
          <w:szCs w:val="20"/>
          <w:lang w:val="hy-AM"/>
        </w:rPr>
        <w:t>Ն</w:t>
      </w:r>
    </w:p>
    <w:p w14:paraId="3665EB91" w14:textId="77777777" w:rsidR="007D34B3" w:rsidRDefault="007D34B3">
      <w:pPr>
        <w:tabs>
          <w:tab w:val="left" w:pos="7156"/>
        </w:tabs>
        <w:rPr>
          <w:rFonts w:ascii="GHEA Grapalat" w:eastAsia="MS Mincho" w:hAnsi="GHEA Grapalat" w:cs="MS Mincho"/>
          <w:b/>
          <w:sz w:val="20"/>
          <w:szCs w:val="20"/>
          <w:lang w:val="hy-AM"/>
        </w:rPr>
      </w:pPr>
    </w:p>
    <w:p w14:paraId="6963AAA6" w14:textId="6F02448E" w:rsidR="00912012" w:rsidRPr="00912012" w:rsidRDefault="00912012" w:rsidP="002369BA">
      <w:pPr>
        <w:ind w:firstLine="375"/>
        <w:rPr>
          <w:rFonts w:ascii="GHEA Grapalat" w:hAnsi="GHEA Grapalat"/>
          <w:lang w:val="hy-AM"/>
        </w:rPr>
      </w:pPr>
    </w:p>
    <w:p w14:paraId="2F96983E" w14:textId="77777777" w:rsidR="00912012" w:rsidRPr="00912012" w:rsidRDefault="00912012" w:rsidP="00912012">
      <w:pPr>
        <w:ind w:firstLine="375"/>
        <w:jc w:val="center"/>
        <w:rPr>
          <w:rFonts w:ascii="GHEA Grapalat" w:hAnsi="GHEA Grapalat"/>
          <w:lang w:val="hy-AM"/>
        </w:rPr>
      </w:pPr>
      <w:r w:rsidRPr="00912012">
        <w:rPr>
          <w:rFonts w:cs="Calibri"/>
          <w:lang w:val="hy-AM"/>
        </w:rPr>
        <w:t> </w:t>
      </w:r>
    </w:p>
    <w:p w14:paraId="66BC31CD" w14:textId="2C9E27A9" w:rsidR="00F05117" w:rsidRPr="00163F8B" w:rsidRDefault="00F05117" w:rsidP="00F05117">
      <w:pPr>
        <w:jc w:val="center"/>
        <w:rPr>
          <w:rFonts w:ascii="GHEA Grapalat" w:hAnsi="GHEA Grapalat"/>
          <w:lang w:val="hy-AM"/>
        </w:rPr>
      </w:pPr>
      <w:r w:rsidRPr="00163F8B">
        <w:rPr>
          <w:rFonts w:ascii="GHEA Grapalat" w:hAnsi="GHEA Grapalat"/>
          <w:lang w:val="hy-AM"/>
        </w:rPr>
        <w:t>ԽԱՂԱՍՐԱՀ ՄՈՒՏՔ ԳՈՐԾԵԼ ԵՎ ԻՆՏԵՐՆԵՏԱՅԻՆ ԿԱՅՔՈՒՄ ԳՐԱՆՑՎԵԼ ՑԱՆԿԱՑՈՂ ՖԻԶԻԿԱԿԱՆ ԱՆՁԻ ԱՆՁԸ ՀԱՍՏԱՏՈՂ ՓԱՍՏԱԹՈՒՂԹ</w:t>
      </w:r>
      <w:r w:rsidR="008635A3">
        <w:rPr>
          <w:rFonts w:ascii="GHEA Grapalat" w:hAnsi="GHEA Grapalat"/>
          <w:lang w:val="hy-AM"/>
        </w:rPr>
        <w:t>Ը</w:t>
      </w:r>
      <w:r w:rsidRPr="00163F8B">
        <w:rPr>
          <w:rFonts w:ascii="GHEA Grapalat" w:hAnsi="GHEA Grapalat"/>
          <w:lang w:val="hy-AM"/>
        </w:rPr>
        <w:t xml:space="preserve"> ՍՏՈՒԳԵԼՈՒ ԿԱՐԳԸ ՀԱՍՏԱՏԵԼՈՒ ՄԱՍԻՆ</w:t>
      </w:r>
    </w:p>
    <w:p w14:paraId="2E6373ED" w14:textId="5450E2A8" w:rsidR="00912012" w:rsidRDefault="00912012" w:rsidP="00912012">
      <w:pPr>
        <w:spacing w:line="360" w:lineRule="auto"/>
        <w:ind w:firstLine="375"/>
        <w:rPr>
          <w:rFonts w:ascii="Sylfaen" w:hAnsi="Sylfaen" w:cs="Calibri"/>
          <w:lang w:val="hy-AM"/>
        </w:rPr>
      </w:pPr>
      <w:r w:rsidRPr="00912012">
        <w:rPr>
          <w:rFonts w:cs="Calibri"/>
          <w:lang w:val="hy-AM"/>
        </w:rPr>
        <w:t> </w:t>
      </w:r>
    </w:p>
    <w:p w14:paraId="38630C5C" w14:textId="25F155BA" w:rsidR="00912012" w:rsidRPr="00917693" w:rsidRDefault="00912012" w:rsidP="00912012">
      <w:pPr>
        <w:spacing w:line="360" w:lineRule="auto"/>
        <w:ind w:firstLine="375"/>
        <w:jc w:val="both"/>
        <w:rPr>
          <w:rFonts w:ascii="GHEA Grapalat" w:hAnsi="GHEA Grapalat"/>
          <w:color w:val="FF0000"/>
          <w:lang w:val="hy-AM"/>
        </w:rPr>
      </w:pPr>
      <w:r w:rsidRPr="00917693">
        <w:rPr>
          <w:rFonts w:ascii="GHEA Grapalat" w:hAnsi="GHEA Grapalat" w:cs="Sylfaen"/>
          <w:lang w:val="hy-AM"/>
        </w:rPr>
        <w:t>Հիմք</w:t>
      </w:r>
      <w:r w:rsidRPr="00917693">
        <w:rPr>
          <w:rFonts w:ascii="GHEA Grapalat" w:hAnsi="GHEA Grapalat"/>
          <w:lang w:val="hy-AM"/>
        </w:rPr>
        <w:t xml:space="preserve"> ընդունելով </w:t>
      </w:r>
      <w:bookmarkStart w:id="0" w:name="_Hlk215846504"/>
      <w:r w:rsidR="00E43776" w:rsidRPr="00917693">
        <w:rPr>
          <w:rFonts w:ascii="GHEA Grapalat" w:hAnsi="GHEA Grapalat"/>
          <w:color w:val="000000"/>
          <w:lang w:val="hy-AM"/>
        </w:rPr>
        <w:t>«Վիճակախաղերի մասին» օրենքի 5-րդ հոդվածի 1-ին մասի «ժդ</w:t>
      </w:r>
      <w:r w:rsidR="00E43776" w:rsidRPr="00917693">
        <w:rPr>
          <w:rFonts w:ascii="GHEA Grapalat" w:hAnsi="GHEA Grapalat"/>
          <w:lang w:val="hy-AM"/>
        </w:rPr>
        <w:t xml:space="preserve">» </w:t>
      </w:r>
      <w:r w:rsidR="00E43776" w:rsidRPr="00917693">
        <w:rPr>
          <w:rFonts w:ascii="GHEA Grapalat" w:hAnsi="GHEA Grapalat"/>
          <w:lang w:val="hy-AM"/>
        </w:rPr>
        <w:t>կետը</w:t>
      </w:r>
      <w:r w:rsidR="00DC0741" w:rsidRPr="00917693">
        <w:rPr>
          <w:rFonts w:ascii="GHEA Grapalat" w:hAnsi="GHEA Grapalat"/>
          <w:lang w:val="hy-AM"/>
        </w:rPr>
        <w:t xml:space="preserve"> </w:t>
      </w:r>
      <w:r w:rsidR="00D30182" w:rsidRPr="00917693">
        <w:rPr>
          <w:rFonts w:ascii="GHEA Grapalat" w:hAnsi="GHEA Grapalat" w:cs="Arial"/>
          <w:color w:val="333333"/>
          <w:shd w:val="clear" w:color="auto" w:fill="FFFFFF"/>
          <w:lang w:val="hy-AM"/>
        </w:rPr>
        <w:t>և «Վիճակախաղերի մասին օրենքում լրացումներ և փոփոխություն կատարելու մասին» 2019 թվականի հոկտեմբերի 3-ի ՀՕ-186-Ն օրենքի 8-րդ հոդվածը</w:t>
      </w:r>
      <w:r w:rsidR="00D30182" w:rsidRPr="00917693">
        <w:rPr>
          <w:rFonts w:ascii="GHEA Grapalat" w:hAnsi="GHEA Grapalat" w:cs="Arial"/>
          <w:color w:val="333333"/>
          <w:shd w:val="clear" w:color="auto" w:fill="FFFFFF"/>
          <w:lang w:val="hy-AM"/>
        </w:rPr>
        <w:t>,</w:t>
      </w:r>
      <w:r w:rsidR="00E43776" w:rsidRPr="00917693">
        <w:rPr>
          <w:rFonts w:ascii="GHEA Grapalat" w:hAnsi="GHEA Grapalat"/>
          <w:lang w:val="hy-AM"/>
        </w:rPr>
        <w:t xml:space="preserve"> </w:t>
      </w:r>
      <w:r w:rsidRPr="00917693">
        <w:rPr>
          <w:rFonts w:ascii="GHEA Grapalat" w:hAnsi="GHEA Grapalat"/>
          <w:lang w:val="hy-AM"/>
        </w:rPr>
        <w:t>«Կառավարության կառուցվածքի և գործունեության մասին» օրենքով հաստատված հավելվածի 15-րդ կետը,</w:t>
      </w:r>
      <w:bookmarkEnd w:id="0"/>
      <w:r w:rsidRPr="00917693">
        <w:rPr>
          <w:rFonts w:ascii="GHEA Grapalat" w:hAnsi="GHEA Grapalat"/>
          <w:lang w:val="hy-AM"/>
        </w:rPr>
        <w:t xml:space="preserve"> </w:t>
      </w:r>
      <w:bookmarkStart w:id="1" w:name="_Hlk215846536"/>
      <w:r w:rsidRPr="00917693">
        <w:rPr>
          <w:rFonts w:ascii="GHEA Grapalat" w:hAnsi="GHEA Grapalat"/>
          <w:lang w:val="hy-AM"/>
        </w:rPr>
        <w:t>ինչպես նաև Հայաստանի Հանրապետության վարչապետի  2019 թվականի հունիսի 1-ի N 658-Լ որոշմամբ հաստատված հավելվածի 11-րդ կետի 49</w:t>
      </w:r>
      <w:r w:rsidRPr="00917693">
        <w:rPr>
          <w:rFonts w:ascii="Cambria Math" w:hAnsi="Cambria Math" w:cs="Cambria Math"/>
          <w:lang w:val="hy-AM"/>
        </w:rPr>
        <w:t>․</w:t>
      </w:r>
      <w:r w:rsidRPr="00917693">
        <w:rPr>
          <w:rFonts w:ascii="GHEA Grapalat" w:hAnsi="GHEA Grapalat"/>
          <w:lang w:val="hy-AM"/>
        </w:rPr>
        <w:t>1-րդ և 18-րդ կետի 21-րդ ենթակետերը</w:t>
      </w:r>
      <w:bookmarkEnd w:id="1"/>
      <w:r w:rsidR="00E43776" w:rsidRPr="00917693">
        <w:rPr>
          <w:rFonts w:ascii="Cambria Math" w:hAnsi="Cambria Math" w:cs="Cambria Math"/>
          <w:lang w:val="hy-AM"/>
        </w:rPr>
        <w:t>․</w:t>
      </w:r>
    </w:p>
    <w:p w14:paraId="42CA112D" w14:textId="4D632AE2" w:rsidR="00912012" w:rsidRPr="00917693" w:rsidRDefault="00912012" w:rsidP="009463C4">
      <w:pPr>
        <w:ind w:firstLine="375"/>
        <w:rPr>
          <w:rFonts w:ascii="GHEA Grapalat" w:hAnsi="GHEA Grapalat" w:cs="Calibri"/>
          <w:lang w:val="hy-AM"/>
        </w:rPr>
      </w:pPr>
      <w:r w:rsidRPr="00917693">
        <w:rPr>
          <w:rFonts w:ascii="Calibri" w:hAnsi="Calibri" w:cs="Calibri"/>
          <w:lang w:val="hy-AM"/>
        </w:rPr>
        <w:t> </w:t>
      </w:r>
    </w:p>
    <w:p w14:paraId="19B7917D" w14:textId="3EE160D3" w:rsidR="009463C4" w:rsidRPr="009463C4" w:rsidRDefault="009463C4" w:rsidP="009463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B0F6E">
        <w:rPr>
          <w:rFonts w:ascii="GHEA Grapalat" w:hAnsi="GHEA Grapalat"/>
          <w:color w:val="000000"/>
          <w:lang w:val="hy-AM"/>
        </w:rPr>
        <w:t>Հրամայում եմ`</w:t>
      </w:r>
      <w:r w:rsidRPr="00CB0F6E">
        <w:rPr>
          <w:rFonts w:ascii="Calibri" w:hAnsi="Calibri" w:cs="Calibri"/>
          <w:color w:val="000000"/>
          <w:lang w:val="hy-AM"/>
        </w:rPr>
        <w:t> </w:t>
      </w:r>
    </w:p>
    <w:p w14:paraId="6C5DD958" w14:textId="77777777" w:rsidR="009463C4" w:rsidRPr="00CB0F6E" w:rsidRDefault="009463C4" w:rsidP="009463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325521BB" w14:textId="05D93BA4" w:rsidR="009463C4" w:rsidRPr="00CB0F6E" w:rsidRDefault="009463C4" w:rsidP="009463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B0F6E">
        <w:rPr>
          <w:rFonts w:ascii="GHEA Grapalat" w:hAnsi="GHEA Grapalat"/>
          <w:color w:val="000000"/>
          <w:lang w:val="hy-AM"/>
        </w:rPr>
        <w:t>1. Սահմանել խաղասրահ մուտք գործել և ինտերնետային կայքում գրանցվել ցանկացող ֆիզիկական անձի անձը հաստատող փաստաթուղթ</w:t>
      </w:r>
      <w:r w:rsidR="008635A3">
        <w:rPr>
          <w:rFonts w:ascii="GHEA Grapalat" w:hAnsi="GHEA Grapalat"/>
          <w:color w:val="000000"/>
          <w:lang w:val="hy-AM"/>
        </w:rPr>
        <w:t>ը</w:t>
      </w:r>
      <w:r w:rsidRPr="00CB0F6E">
        <w:rPr>
          <w:rFonts w:ascii="GHEA Grapalat" w:hAnsi="GHEA Grapalat"/>
          <w:color w:val="000000"/>
          <w:lang w:val="hy-AM"/>
        </w:rPr>
        <w:t xml:space="preserve"> ստուգելու կարգը՝ համաձայն հավելվածի.</w:t>
      </w:r>
    </w:p>
    <w:p w14:paraId="5E133742" w14:textId="7A72488E" w:rsidR="00912012" w:rsidRPr="009463C4" w:rsidRDefault="009463C4" w:rsidP="0091769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CB0F6E">
        <w:rPr>
          <w:rFonts w:ascii="Calibri" w:hAnsi="Calibri" w:cs="Calibri"/>
          <w:color w:val="000000"/>
          <w:lang w:val="hy-AM"/>
        </w:rPr>
        <w:t> </w:t>
      </w:r>
      <w:r w:rsidRPr="00CB0F6E">
        <w:rPr>
          <w:rFonts w:ascii="GHEA Grapalat" w:hAnsi="GHEA Grapalat"/>
          <w:color w:val="000000"/>
          <w:lang w:val="hy-AM"/>
        </w:rPr>
        <w:t xml:space="preserve">2. Սույն հրամանն ուժի մեջ է </w:t>
      </w:r>
      <w:r w:rsidRPr="00B213D1">
        <w:rPr>
          <w:rFonts w:ascii="GHEA Grapalat" w:hAnsi="GHEA Grapalat"/>
          <w:color w:val="000000"/>
          <w:lang w:val="hy-AM"/>
        </w:rPr>
        <w:t>մտնում</w:t>
      </w:r>
      <w:r w:rsidR="002D2E21">
        <w:rPr>
          <w:rFonts w:ascii="GHEA Grapalat" w:hAnsi="GHEA Grapalat"/>
          <w:color w:val="000000"/>
          <w:lang w:val="hy-AM"/>
        </w:rPr>
        <w:t xml:space="preserve"> պաշտոնական</w:t>
      </w:r>
      <w:r w:rsidRPr="00B213D1">
        <w:rPr>
          <w:rFonts w:ascii="GHEA Grapalat" w:hAnsi="GHEA Grapalat"/>
          <w:color w:val="000000"/>
          <w:lang w:val="hy-AM"/>
        </w:rPr>
        <w:t xml:space="preserve"> հրապարակման </w:t>
      </w:r>
      <w:r w:rsidR="002D2E21">
        <w:rPr>
          <w:rFonts w:ascii="GHEA Grapalat" w:hAnsi="GHEA Grapalat"/>
          <w:color w:val="000000"/>
          <w:lang w:val="hy-AM"/>
        </w:rPr>
        <w:t xml:space="preserve">օրվան հաջորդող տասներորդ </w:t>
      </w:r>
      <w:r w:rsidRPr="00B213D1">
        <w:rPr>
          <w:rFonts w:ascii="GHEA Grapalat" w:hAnsi="GHEA Grapalat"/>
          <w:color w:val="000000"/>
          <w:lang w:val="hy-AM"/>
        </w:rPr>
        <w:t>օրը</w:t>
      </w:r>
      <w:r w:rsidR="008749D4">
        <w:rPr>
          <w:rFonts w:ascii="GHEA Grapalat" w:hAnsi="GHEA Grapalat"/>
          <w:color w:val="000000"/>
          <w:lang w:val="hy-AM"/>
        </w:rPr>
        <w:t xml:space="preserve"> </w:t>
      </w:r>
      <w:r w:rsidR="008749D4" w:rsidRPr="004D6C3B">
        <w:rPr>
          <w:rFonts w:ascii="GHEA Grapalat" w:hAnsi="GHEA Grapalat"/>
          <w:lang w:val="hy-AM"/>
        </w:rPr>
        <w:t>և գործում է մինչև</w:t>
      </w:r>
      <w:r w:rsidR="008749D4" w:rsidRPr="00E47915">
        <w:rPr>
          <w:lang w:val="hy-AM"/>
        </w:rPr>
        <w:t xml:space="preserve"> </w:t>
      </w:r>
      <w:r w:rsidR="008749D4" w:rsidRPr="004D6C3B">
        <w:rPr>
          <w:rFonts w:ascii="GHEA Grapalat" w:hAnsi="GHEA Grapalat"/>
          <w:lang w:val="hy-AM"/>
        </w:rPr>
        <w:t>«Խաղային</w:t>
      </w:r>
      <w:r w:rsidR="008749D4">
        <w:rPr>
          <w:rFonts w:ascii="GHEA Grapalat" w:hAnsi="GHEA Grapalat"/>
          <w:lang w:val="hy-AM"/>
        </w:rPr>
        <w:t xml:space="preserve"> </w:t>
      </w:r>
      <w:r w:rsidR="008749D4" w:rsidRPr="004D6C3B">
        <w:rPr>
          <w:rFonts w:ascii="GHEA Grapalat" w:hAnsi="GHEA Grapalat"/>
          <w:lang w:val="hy-AM"/>
        </w:rPr>
        <w:t>գործունեության</w:t>
      </w:r>
      <w:r w:rsidR="008749D4">
        <w:rPr>
          <w:rFonts w:ascii="GHEA Grapalat" w:hAnsi="GHEA Grapalat"/>
          <w:lang w:val="hy-AM"/>
        </w:rPr>
        <w:t xml:space="preserve"> </w:t>
      </w:r>
      <w:r w:rsidR="008749D4" w:rsidRPr="004D6C3B">
        <w:rPr>
          <w:rFonts w:ascii="GHEA Grapalat" w:hAnsi="GHEA Grapalat"/>
          <w:lang w:val="hy-AM"/>
        </w:rPr>
        <w:t>կարգավորման</w:t>
      </w:r>
      <w:r w:rsidR="008749D4">
        <w:rPr>
          <w:rFonts w:ascii="GHEA Grapalat" w:hAnsi="GHEA Grapalat"/>
          <w:lang w:val="hy-AM"/>
        </w:rPr>
        <w:t xml:space="preserve"> </w:t>
      </w:r>
      <w:r w:rsidR="008749D4" w:rsidRPr="004D6C3B">
        <w:rPr>
          <w:rFonts w:ascii="GHEA Grapalat" w:hAnsi="GHEA Grapalat"/>
          <w:lang w:val="hy-AM"/>
        </w:rPr>
        <w:t>մասին</w:t>
      </w:r>
      <w:r w:rsidR="008749D4">
        <w:rPr>
          <w:rFonts w:ascii="GHEA Grapalat" w:hAnsi="GHEA Grapalat"/>
          <w:lang w:val="hy-AM"/>
        </w:rPr>
        <w:t xml:space="preserve">» </w:t>
      </w:r>
      <w:r w:rsidR="008749D4" w:rsidRPr="004D6C3B">
        <w:rPr>
          <w:rFonts w:ascii="GHEA Grapalat" w:hAnsi="GHEA Grapalat"/>
          <w:lang w:val="hy-AM"/>
        </w:rPr>
        <w:t>օրենքի</w:t>
      </w:r>
      <w:r w:rsidR="008749D4">
        <w:rPr>
          <w:rFonts w:ascii="GHEA Grapalat" w:hAnsi="GHEA Grapalat"/>
          <w:lang w:val="hy-AM"/>
        </w:rPr>
        <w:t xml:space="preserve"> գործողության մեջ դրվելու օրը։</w:t>
      </w:r>
    </w:p>
    <w:p w14:paraId="6BCD4049" w14:textId="1A02F0C3" w:rsidR="009463C4" w:rsidRDefault="009463C4" w:rsidP="00912012">
      <w:pPr>
        <w:ind w:firstLine="375"/>
        <w:jc w:val="right"/>
        <w:rPr>
          <w:rFonts w:ascii="GHEA Grapalat" w:hAnsi="GHEA Grapalat"/>
          <w:b/>
          <w:bCs/>
          <w:lang w:val="hy-AM"/>
        </w:rPr>
      </w:pPr>
    </w:p>
    <w:p w14:paraId="7DDB296D" w14:textId="77777777" w:rsidR="00DD7AF5" w:rsidRDefault="00DD7AF5" w:rsidP="00912012">
      <w:pPr>
        <w:ind w:firstLine="375"/>
        <w:jc w:val="right"/>
        <w:rPr>
          <w:rFonts w:ascii="GHEA Grapalat" w:hAnsi="GHEA Grapalat"/>
          <w:b/>
          <w:bCs/>
          <w:lang w:val="hy-AM"/>
        </w:rPr>
      </w:pPr>
    </w:p>
    <w:p w14:paraId="223BC9FA" w14:textId="3A9E73CD" w:rsidR="00912012" w:rsidRPr="002F1F5E" w:rsidRDefault="00912012" w:rsidP="00912012">
      <w:pPr>
        <w:ind w:firstLine="375"/>
        <w:jc w:val="right"/>
        <w:rPr>
          <w:rFonts w:ascii="GHEA Grapalat" w:hAnsi="GHEA Grapalat"/>
          <w:b/>
          <w:bCs/>
          <w:lang w:val="hy-AM"/>
        </w:rPr>
      </w:pPr>
      <w:r w:rsidRPr="002F1F5E">
        <w:rPr>
          <w:rFonts w:ascii="GHEA Grapalat" w:hAnsi="GHEA Grapalat"/>
          <w:b/>
          <w:bCs/>
          <w:lang w:val="hy-AM"/>
        </w:rPr>
        <w:t>Գ</w:t>
      </w:r>
      <w:r w:rsidRPr="009463C4">
        <w:rPr>
          <w:rFonts w:ascii="GHEA Grapalat" w:hAnsi="GHEA Grapalat"/>
          <w:b/>
          <w:bCs/>
          <w:lang w:val="hy-AM"/>
        </w:rPr>
        <w:t xml:space="preserve">. </w:t>
      </w:r>
      <w:r w:rsidRPr="002F1F5E">
        <w:rPr>
          <w:rFonts w:ascii="GHEA Grapalat" w:hAnsi="GHEA Grapalat"/>
          <w:b/>
          <w:bCs/>
          <w:lang w:val="hy-AM"/>
        </w:rPr>
        <w:t>ՊԱՊՈՅԱՆ</w:t>
      </w:r>
    </w:p>
    <w:p w14:paraId="6C16AEEE" w14:textId="751B1F8D" w:rsidR="00912012" w:rsidRPr="002F1F5E" w:rsidRDefault="00912012" w:rsidP="009463C4">
      <w:pPr>
        <w:rPr>
          <w:rFonts w:ascii="GHEA Grapalat" w:hAnsi="GHEA Grapalat"/>
          <w:b/>
          <w:bCs/>
          <w:lang w:val="hy-AM"/>
        </w:rPr>
      </w:pPr>
    </w:p>
    <w:p w14:paraId="3D41DE1E" w14:textId="77777777" w:rsidR="00912012" w:rsidRPr="002F1F5E" w:rsidRDefault="00912012" w:rsidP="00912012">
      <w:pPr>
        <w:ind w:firstLine="375"/>
        <w:jc w:val="right"/>
        <w:rPr>
          <w:rFonts w:ascii="GHEA Grapalat" w:hAnsi="GHEA Grapalat"/>
          <w:b/>
          <w:bCs/>
          <w:lang w:val="hy-AM"/>
        </w:rPr>
      </w:pPr>
    </w:p>
    <w:p w14:paraId="22BBB3DE" w14:textId="07734C8A" w:rsidR="009463C4" w:rsidRPr="00B213D1" w:rsidRDefault="00912012" w:rsidP="009463C4">
      <w:pPr>
        <w:shd w:val="clear" w:color="auto" w:fill="FFFFFF"/>
        <w:ind w:firstLine="375"/>
        <w:jc w:val="right"/>
        <w:rPr>
          <w:rFonts w:ascii="GHEA Grapalat" w:hAnsi="GHEA Grapalat"/>
          <w:sz w:val="20"/>
          <w:szCs w:val="20"/>
          <w:lang w:val="hy-AM"/>
        </w:rPr>
      </w:pPr>
      <w:r w:rsidRPr="009463C4">
        <w:rPr>
          <w:rFonts w:cs="Calibri"/>
          <w:lang w:val="hy-AM"/>
        </w:rPr>
        <w:t> </w:t>
      </w:r>
      <w:r w:rsidR="009463C4" w:rsidRPr="00B213D1">
        <w:rPr>
          <w:rFonts w:ascii="GHEA Grapalat" w:hAnsi="GHEA Grapalat"/>
          <w:sz w:val="20"/>
          <w:szCs w:val="20"/>
          <w:lang w:val="hy-AM"/>
        </w:rPr>
        <w:t>Հ</w:t>
      </w:r>
      <w:r w:rsidR="0084188C">
        <w:rPr>
          <w:rFonts w:ascii="GHEA Grapalat" w:hAnsi="GHEA Grapalat"/>
          <w:sz w:val="20"/>
          <w:szCs w:val="20"/>
          <w:lang w:val="hy-AM"/>
        </w:rPr>
        <w:t>ավելված</w:t>
      </w:r>
    </w:p>
    <w:p w14:paraId="15F01C0D" w14:textId="77777777" w:rsidR="009463C4" w:rsidRPr="00B213D1" w:rsidRDefault="009463C4" w:rsidP="009463C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213D1">
        <w:rPr>
          <w:rFonts w:ascii="GHEA Grapalat" w:hAnsi="GHEA Grapalat"/>
          <w:color w:val="000000"/>
          <w:sz w:val="20"/>
          <w:szCs w:val="20"/>
          <w:lang w:val="hy-AM"/>
        </w:rPr>
        <w:t>ՀՀ էկոնոմիկայի նախարարի</w:t>
      </w:r>
    </w:p>
    <w:p w14:paraId="3770CE61" w14:textId="2175AB3A" w:rsidR="009463C4" w:rsidRPr="00B213D1" w:rsidRDefault="009463C4" w:rsidP="009463C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213D1">
        <w:rPr>
          <w:rFonts w:ascii="GHEA Grapalat" w:hAnsi="GHEA Grapalat"/>
          <w:color w:val="000000"/>
          <w:sz w:val="20"/>
          <w:szCs w:val="20"/>
          <w:lang w:val="hy-AM"/>
        </w:rPr>
        <w:t xml:space="preserve"> 202</w:t>
      </w:r>
      <w:r w:rsidR="001946CC">
        <w:rPr>
          <w:rFonts w:ascii="GHEA Grapalat" w:hAnsi="GHEA Grapalat"/>
          <w:color w:val="000000"/>
          <w:sz w:val="20"/>
          <w:szCs w:val="20"/>
          <w:lang w:val="hy-AM"/>
        </w:rPr>
        <w:t>6</w:t>
      </w:r>
      <w:r w:rsidRPr="00B213D1">
        <w:rPr>
          <w:rFonts w:ascii="GHEA Grapalat" w:hAnsi="GHEA Grapalat"/>
          <w:color w:val="000000"/>
          <w:sz w:val="20"/>
          <w:szCs w:val="20"/>
          <w:lang w:val="hy-AM"/>
        </w:rPr>
        <w:t xml:space="preserve"> թվականի </w:t>
      </w:r>
      <w:r w:rsidR="00C24BB3">
        <w:rPr>
          <w:rFonts w:ascii="GHEA Grapalat" w:hAnsi="GHEA Grapalat"/>
          <w:color w:val="000000"/>
          <w:sz w:val="20"/>
          <w:szCs w:val="20"/>
          <w:lang w:val="hy-AM"/>
        </w:rPr>
        <w:t>----------</w:t>
      </w:r>
      <w:r w:rsidRPr="00B213D1">
        <w:rPr>
          <w:rFonts w:ascii="GHEA Grapalat" w:hAnsi="GHEA Grapalat"/>
          <w:color w:val="000000"/>
          <w:sz w:val="20"/>
          <w:szCs w:val="20"/>
          <w:lang w:val="hy-AM"/>
        </w:rPr>
        <w:t>--- -ի</w:t>
      </w:r>
    </w:p>
    <w:p w14:paraId="7DAA26CB" w14:textId="77777777" w:rsidR="009463C4" w:rsidRPr="00B213D1" w:rsidRDefault="009463C4" w:rsidP="009463C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213D1">
        <w:rPr>
          <w:rFonts w:ascii="GHEA Grapalat" w:hAnsi="GHEA Grapalat"/>
          <w:color w:val="000000"/>
          <w:sz w:val="20"/>
          <w:szCs w:val="20"/>
          <w:lang w:val="hy-AM"/>
        </w:rPr>
        <w:t xml:space="preserve">    N        հրամանի</w:t>
      </w:r>
    </w:p>
    <w:p w14:paraId="039F257F" w14:textId="77777777" w:rsidR="009463C4" w:rsidRPr="007D4DFD" w:rsidRDefault="009463C4" w:rsidP="009463C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B6E3469" w14:textId="77777777" w:rsidR="009463C4" w:rsidRPr="00095FF8" w:rsidRDefault="009463C4" w:rsidP="009463C4">
      <w:pPr>
        <w:shd w:val="clear" w:color="auto" w:fill="FFFFFF"/>
        <w:ind w:firstLine="375"/>
        <w:jc w:val="right"/>
        <w:rPr>
          <w:rFonts w:ascii="Sylfaen" w:hAnsi="Sylfaen"/>
          <w:color w:val="000000"/>
          <w:sz w:val="21"/>
          <w:szCs w:val="21"/>
          <w:lang w:val="hy-AM"/>
        </w:rPr>
      </w:pPr>
      <w:r w:rsidRPr="00095FF8">
        <w:rPr>
          <w:rFonts w:ascii="Sylfaen" w:hAnsi="Sylfaen"/>
          <w:color w:val="000000"/>
          <w:sz w:val="21"/>
          <w:szCs w:val="21"/>
          <w:lang w:val="hy-AM"/>
        </w:rPr>
        <w:t> </w:t>
      </w:r>
    </w:p>
    <w:p w14:paraId="1DDD4742" w14:textId="77777777" w:rsidR="009463C4" w:rsidRPr="00095FF8" w:rsidRDefault="009463C4" w:rsidP="009463C4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095FF8">
        <w:rPr>
          <w:rFonts w:ascii="GHEA Grapalat" w:hAnsi="GHEA Grapalat"/>
          <w:b/>
          <w:bCs/>
          <w:color w:val="000000"/>
          <w:lang w:val="hy-AM"/>
        </w:rPr>
        <w:t>Կ Ա Ր Գ</w:t>
      </w:r>
      <w:r w:rsidRPr="00095FF8">
        <w:rPr>
          <w:rFonts w:ascii="Calibri" w:hAnsi="Calibri" w:cs="Calibri"/>
          <w:color w:val="000000"/>
          <w:lang w:val="hy-AM"/>
        </w:rPr>
        <w:t> </w:t>
      </w:r>
    </w:p>
    <w:p w14:paraId="4D0381C6" w14:textId="14755A6F" w:rsidR="009463C4" w:rsidRPr="00163F8B" w:rsidRDefault="009463C4" w:rsidP="009463C4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163F8B">
        <w:rPr>
          <w:rFonts w:ascii="GHEA Grapalat" w:hAnsi="GHEA Grapalat"/>
          <w:b/>
          <w:bCs/>
          <w:color w:val="000000"/>
          <w:lang w:val="hy-AM"/>
        </w:rPr>
        <w:t>ԽԱՂԱՍՐԱՀ ՄՈՒՏՔ ԳՈՐԾԵԼ ԵՎ ԻՆՏԵՐՆԵՏԱՅԻՆ ԿԱՅՔՈՒՄ ԳՐԱՆՑՎԵԼ ՑԱՆԿԱՑՈՂ ՖԻԶԻԿԱԿԱՆ ԱՆՁԻ ԱՆՁԸ ՀԱՍՏԱՏՈՂ ՓԱՍՏԱԹՈՒՂԹ</w:t>
      </w:r>
      <w:r w:rsidR="00ED1178">
        <w:rPr>
          <w:rFonts w:ascii="GHEA Grapalat" w:hAnsi="GHEA Grapalat"/>
          <w:b/>
          <w:bCs/>
          <w:color w:val="000000"/>
          <w:lang w:val="hy-AM"/>
        </w:rPr>
        <w:t>Ը</w:t>
      </w:r>
      <w:r w:rsidRPr="00163F8B">
        <w:rPr>
          <w:rFonts w:ascii="GHEA Grapalat" w:hAnsi="GHEA Grapalat"/>
          <w:b/>
          <w:bCs/>
          <w:color w:val="000000"/>
          <w:lang w:val="hy-AM"/>
        </w:rPr>
        <w:t xml:space="preserve"> ՍՏՈՒԳԵԼՈՒ</w:t>
      </w:r>
    </w:p>
    <w:p w14:paraId="1A9657C2" w14:textId="77777777" w:rsidR="009463C4" w:rsidRPr="00917693" w:rsidRDefault="009463C4" w:rsidP="009463C4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917693">
        <w:rPr>
          <w:rFonts w:ascii="Calibri" w:hAnsi="Calibri" w:cs="Calibri"/>
          <w:color w:val="000000"/>
          <w:lang w:val="hy-AM"/>
        </w:rPr>
        <w:t> </w:t>
      </w:r>
    </w:p>
    <w:p w14:paraId="14B16441" w14:textId="27C586AA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1. Սույն կարգը կարգավորում է վիճակախաղի կազմակերպիչների (այսուհետ՝ կազմակերպիչ) կողմից խաղասրահ մուտք գործել և ինտերնետային կայքում գրանցվել ցանկացող ֆիզիկական անձի անձը հաստատող փաստաթղթի (որը պարունակում է տվյալներ նրա տարիքի վերաբերյալ) ստուգման հետ կապված հարաբերությունները:</w:t>
      </w:r>
    </w:p>
    <w:p w14:paraId="745FBC9F" w14:textId="77777777" w:rsidR="009463C4" w:rsidRPr="00917693" w:rsidRDefault="009463C4" w:rsidP="00A21F6C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2. Կարգում հասկացություններն օգտագործվում են «Վիճակախաղերի մասին» օրենքով սահմանված իմաստով:</w:t>
      </w:r>
    </w:p>
    <w:p w14:paraId="17D403A5" w14:textId="77777777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3. Կազմակերպչի կողմից խաղասրահ մուտք գործել ցանկացող ֆիզիկական անձի անձը հաստատող փաստաթղթի ստուգումն (այսուհետ՝ ստուգում) իրականացվում է՝ բացառելով տասնութ տարին (տոտալիզատորի դեպքում՝ քսանմեկ տարին) չլրացած անձանց մուտքը խաղասրահներ (բուքմեյքերական գրասենյակ):</w:t>
      </w:r>
    </w:p>
    <w:p w14:paraId="3B9C895D" w14:textId="7BD15F65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4. Ստուգումն իրականացվում է խաղասրահ մուտք գործել ցանկացող ֆիզիկական անձի ներկայությամբ՝ Հ</w:t>
      </w:r>
      <w:r w:rsidR="00ED1178" w:rsidRPr="00917693">
        <w:rPr>
          <w:rFonts w:ascii="GHEA Grapalat" w:hAnsi="GHEA Grapalat"/>
          <w:color w:val="000000"/>
          <w:lang w:val="hy-AM"/>
        </w:rPr>
        <w:t xml:space="preserve">այաստանի </w:t>
      </w:r>
      <w:r w:rsidRPr="00917693">
        <w:rPr>
          <w:rFonts w:ascii="GHEA Grapalat" w:hAnsi="GHEA Grapalat"/>
          <w:color w:val="000000"/>
          <w:lang w:val="hy-AM"/>
        </w:rPr>
        <w:t>Հ</w:t>
      </w:r>
      <w:r w:rsidR="00ED1178" w:rsidRPr="00917693">
        <w:rPr>
          <w:rFonts w:ascii="GHEA Grapalat" w:hAnsi="GHEA Grapalat"/>
          <w:color w:val="000000"/>
          <w:lang w:val="hy-AM"/>
        </w:rPr>
        <w:t>անրապետության</w:t>
      </w:r>
      <w:r w:rsidRPr="00917693">
        <w:rPr>
          <w:rFonts w:ascii="GHEA Grapalat" w:hAnsi="GHEA Grapalat"/>
          <w:color w:val="000000"/>
          <w:lang w:val="hy-AM"/>
        </w:rPr>
        <w:t xml:space="preserve"> կառավարության 1999 թվականի դեկտեմբերի 22-ի N 767 որոշմամբ սահմանված անձը հաստատող փաստաթղթի հիման վրա:</w:t>
      </w:r>
    </w:p>
    <w:p w14:paraId="7F4E8601" w14:textId="2ECB0EC0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5. Խաղասրահ (բուքմեյքերական գրասենյակ) մուտք գործել ցանկացող ֆիզիկական անձը կազմակերպչի պահանջով ստուգման նպատակով վերջինիս առձեռն տրամադրում է անձը հաստատող փաստաթուղթը:</w:t>
      </w:r>
    </w:p>
    <w:p w14:paraId="0277D0AC" w14:textId="3BE2FE98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6. Համապատասխան ստուգումն իրականացնելուց հետո կազմակերպիչը խաղասրահ (բուքմեյքերական գրասենյակ) մուտք գործել ցանկացող ֆիզիկական անձին է վերադարձնում անձը հաստատող փաստաթուղթը:</w:t>
      </w:r>
    </w:p>
    <w:p w14:paraId="498D1726" w14:textId="09E8EDF5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7. Ներկայացված փաստաթղթերի ստուգումն իրականացնելուց հետո կազմակերպիչը հավաստիանում է նաև լիազոր մարմնի կողմից տրամադրված՝ դատարանի օրինական ուժի մեջ մտած վճռով մոլեխաղերով հրապուրվելու հետևանքով իր ընտանիքը նյութական ծանր դրության մեջ դնելու հիմքով սահմանափակ գործունակ ճանաչված անձանց </w:t>
      </w:r>
      <w:r w:rsidRPr="00917693">
        <w:rPr>
          <w:rFonts w:ascii="GHEA Grapalat" w:hAnsi="GHEA Grapalat"/>
          <w:color w:val="000000"/>
          <w:lang w:val="hy-AM"/>
        </w:rPr>
        <w:lastRenderedPageBreak/>
        <w:t>ցուցակում տվյալ անձի անվան բացակայության վերաբերյալ, որից հետո ֆիզիկական անձին թույլատրվում է մուտք գործել խաղասրահներ (բուքմեյքերական գրասենյակ) կամ մասնակցել ինտերնետ տոտալիզատորին:</w:t>
      </w:r>
    </w:p>
    <w:p w14:paraId="44BDDD48" w14:textId="7AD6F31A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8. Մինչև ֆիզիկական անձանց ինտերնետային կայքում գրանցելը՝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ազմակերպիչն իրականացնում է ինտերնետ տոտալիզատորին մասնակցել ցանկացող ֆիզիկական անձանց ինքնության ստուգում (նույնականացում)՝ բացառելով քսանմեկ տարին չլրացած ֆիզիկական անձանց մասնակցությունը ինտերնետ տոտալիզատորին:</w:t>
      </w:r>
    </w:p>
    <w:p w14:paraId="42DEE0C8" w14:textId="5F0C4EE4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9. «Նույնականացման քարտերի մասին» օրենքով նախատեսված նույնականացման քարտ և էլեկտրոնային ստորագրություն ունենալու դեպքում ինտերնետային կայքում գրանցվել ցանկացող ֆիզիկական անձի ինքնության ստուգումն (նույնականացում) իրականացվում է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ազմակերպչի կողմից էլեկտրոնային տեղեկատվական համակարգի միջոցով անձնական տվյալների փոխանցմամբ: Գրանցվել ցանկացող ֆիզիկական անձը լրացնում է ինտերնետային կայքում գրանցման համար նախատեսված դաշտերը և ստորագրում (վավերացնում) է էլեկտրոնային ստորագրությամբ:</w:t>
      </w:r>
    </w:p>
    <w:p w14:paraId="7B623963" w14:textId="70F28A73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10. Սույն Կարգի 8-րդ կետով սահմանված գործընթացի իրականացումից հետո՝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 xml:space="preserve">ազմակերպիչը քսանմեկ տարին լրացած ֆիզիկական անձի էլեկտրոնային փոստին կամ բջջային հեռախոսահամարին ուղարկում է նույնականացման բանալի և գաղտնաբառ (ID և password), որով հավաստում է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ազմակերպչի ինտերնետային կայքում բարեհաջող գրանցումը:</w:t>
      </w:r>
    </w:p>
    <w:p w14:paraId="024077EA" w14:textId="24B389C8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11. Նույնականացման բանալին ու գաղտնաբառն (ID և password) օգտագործվում են ֆիզիկական անձի կողմից ինտերնետ տոտալիզատորին մասնակցության նպատակով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ազմակերպչի ինտերնետ կայք մուտք գործելու համար:</w:t>
      </w:r>
    </w:p>
    <w:p w14:paraId="7E4503AD" w14:textId="2B118858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12. «Նույնականացման քարտերի մասին» օրենքով նախատեսված նույնականացման քարտ կամ էլեկտրոնային ստորագրություն չունենալու դեպքում, ֆիզիկական անձինք ինտերնետ տոտալիզատորին մասնակցելու նպատակով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 xml:space="preserve">ազմակերպչի ինտերնետային կայքում գրանցվելու համար պետք է մեկ անգամ այցելեն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ազմակերպչի համապատասխան խաղասրահ (բուքմեյքերական գրասենյակ)՝ սույն կարգի</w:t>
      </w:r>
      <w:r w:rsidR="006C0D29" w:rsidRPr="00917693">
        <w:rPr>
          <w:rFonts w:ascii="GHEA Grapalat" w:hAnsi="GHEA Grapalat"/>
          <w:color w:val="000000"/>
          <w:lang w:val="hy-AM"/>
        </w:rPr>
        <w:t xml:space="preserve"> </w:t>
      </w:r>
      <w:r w:rsidR="00F57121" w:rsidRPr="00917693">
        <w:rPr>
          <w:rFonts w:ascii="GHEA Grapalat" w:hAnsi="GHEA Grapalat"/>
          <w:color w:val="000000"/>
          <w:lang w:val="hy-AM"/>
        </w:rPr>
        <w:t xml:space="preserve">3-6-րդ </w:t>
      </w:r>
      <w:r w:rsidRPr="00917693">
        <w:rPr>
          <w:rFonts w:ascii="GHEA Grapalat" w:hAnsi="GHEA Grapalat"/>
          <w:color w:val="000000"/>
          <w:lang w:val="hy-AM"/>
        </w:rPr>
        <w:t xml:space="preserve">կետերով սահմանված կարգով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ազմակերպչի կողմից ստուգումն անցնելու նպատակով:</w:t>
      </w:r>
    </w:p>
    <w:p w14:paraId="38AB027B" w14:textId="27F256A8" w:rsidR="009463C4" w:rsidRPr="00917693" w:rsidRDefault="009463C4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 xml:space="preserve">13. Ներկայացված փաստաթղթերի ստուգումն իրականացնելուց հետո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 xml:space="preserve">ազմակերպիչը քսանմեկ տարին լրացած ֆիզիկական անձին տրամադրում է նույնականացման բանալի և գաղտնաբառ (ID և password), որը հնարավորություն է տալիս նրան մուտք գործել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>ազմակերպչի ինտերնետային կայք և մասնակցել ինտերնետ տոտալիզատորին:</w:t>
      </w:r>
    </w:p>
    <w:p w14:paraId="138AF231" w14:textId="1CDDED0E" w:rsidR="009463C4" w:rsidRPr="00917693" w:rsidRDefault="00ED1178" w:rsidP="009463C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lastRenderedPageBreak/>
        <w:t>14</w:t>
      </w:r>
      <w:r w:rsidR="009463C4" w:rsidRPr="00917693">
        <w:rPr>
          <w:rFonts w:ascii="GHEA Grapalat" w:hAnsi="GHEA Grapalat"/>
          <w:color w:val="000000"/>
          <w:lang w:val="hy-AM"/>
        </w:rPr>
        <w:t>. Կազմակերպչի կողմից ինտերնետային կայքում գրանցվել ցանկացող ֆիզիկական անձի ինքնության ստուգումը (նույնականացում) կարող է իրականացվել նաև հետևյալ կերպ</w:t>
      </w:r>
      <w:r w:rsidR="009463C4" w:rsidRPr="00917693">
        <w:rPr>
          <w:rFonts w:ascii="Cambria Math" w:hAnsi="Cambria Math" w:cs="Cambria Math"/>
          <w:color w:val="000000"/>
          <w:lang w:val="hy-AM"/>
        </w:rPr>
        <w:t>․</w:t>
      </w:r>
    </w:p>
    <w:p w14:paraId="5023F3D0" w14:textId="5AA8654B" w:rsidR="00F57121" w:rsidRPr="00917693" w:rsidRDefault="009463C4" w:rsidP="0091769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Քսանմեկ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տարին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լրացած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ֆիզիկական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անձը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վիճակախաղի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21F6C"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ազմակերպչի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ինտերնետային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կայքում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գրանցվելիս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ստեղծում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հատուկ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խաղային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հաշվի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7693">
        <w:rPr>
          <w:rFonts w:ascii="GHEA Grapalat" w:hAnsi="GHEA Grapalat" w:cs="GHEA Grapalat"/>
          <w:color w:val="000000"/>
          <w:sz w:val="24"/>
          <w:szCs w:val="24"/>
          <w:lang w:val="hy-AM"/>
        </w:rPr>
        <w:t>մուտքանուն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(login), ինչպես նաև գաղտնաբառ (password): Վիճակախաղի </w:t>
      </w:r>
      <w:r w:rsidR="00A21F6C" w:rsidRPr="0091769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ազմակերպչի ընտրությամբ գաղտնաբառը կարող է ստեղծվել նաև ինքնաշխատ եղանակով՝ ուղարկելով այն ֆիզիկական անձի էլեկտրոնային փոստին կամ բջջային հեռախոսահամարին։ </w:t>
      </w:r>
    </w:p>
    <w:p w14:paraId="5479FC8B" w14:textId="0F35DAC9" w:rsidR="009463C4" w:rsidRPr="00917693" w:rsidRDefault="009463C4" w:rsidP="0091769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3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Ֆիզիկական անձի կողմից </w:t>
      </w:r>
      <w:r w:rsidR="00A21F6C" w:rsidRPr="0091769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ազմակերպչի ինտերնետային կայքում հատուկ խաղային հաշիվ գրանցելուց հետո ֆիզիկական անձը (հաճախորդը) իր հատուկ խաղային հաշվին կցում է </w:t>
      </w:r>
      <w:r w:rsidR="00ED1178" w:rsidRPr="0091769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օրենսդրությամբ սահմանված կարգով իրեն պատկանող բանկային հաշիվ կամ բանկային քարտ, որից հետո </w:t>
      </w:r>
      <w:r w:rsidR="00A21F6C" w:rsidRPr="0091769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ազմակերպիչը Հայաստանի Հանրապետությունում բանկային գործունեությամբ զբաղվելու լիազորություն ունեցող ֆինանսական կազմակերպության հետ </w:t>
      </w:r>
      <w:r w:rsidR="00ED1178" w:rsidRPr="0091769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917693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օրենսդրությամբ սահմանված կարգով ստուգում է կցված բանկային հաշիվը կամ բանկային քարտը տվյալ հատուկ խաղային հաշիվը գրանցած ֆիզիկական անձին պատկանելու հանգամանքը, ինչի միջոցով իրականացնում է նաև այդ ֆիզիկական անձի պատշաճ և ամբողջական նույնականացումը։ Բանկային հաշիվը կամ քարտը տվյալ՝ խաղադրույք կատարող Հայաստանի Հանրապետության քաղաքացուն կամ անհատական խաղային քարտ ստացած Հայաստանի Հանրապետության քաղաքացուն պատկանելու հանգամանքն ստուգվում է բացառապես խաղացողի համաձայնությամբ:</w:t>
      </w:r>
    </w:p>
    <w:p w14:paraId="66DA49EB" w14:textId="5194878C" w:rsidR="009463C4" w:rsidRPr="00917693" w:rsidRDefault="009463C4" w:rsidP="0091769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7693">
        <w:rPr>
          <w:rFonts w:ascii="GHEA Grapalat" w:hAnsi="GHEA Grapalat"/>
          <w:color w:val="000000"/>
          <w:lang w:val="hy-AM"/>
        </w:rPr>
        <w:t>1</w:t>
      </w:r>
      <w:r w:rsidR="00ED1178" w:rsidRPr="00917693">
        <w:rPr>
          <w:rFonts w:ascii="GHEA Grapalat" w:hAnsi="GHEA Grapalat"/>
          <w:color w:val="000000"/>
          <w:lang w:val="hy-AM"/>
        </w:rPr>
        <w:t>5</w:t>
      </w:r>
      <w:r w:rsidR="008749D4" w:rsidRPr="00917693">
        <w:rPr>
          <w:rFonts w:ascii="GHEA Grapalat" w:hAnsi="GHEA Grapalat"/>
          <w:color w:val="000000"/>
          <w:lang w:val="hy-AM"/>
        </w:rPr>
        <w:t>.</w:t>
      </w:r>
      <w:r w:rsidRPr="00917693">
        <w:rPr>
          <w:rFonts w:ascii="GHEA Grapalat" w:hAnsi="GHEA Grapalat"/>
          <w:color w:val="000000"/>
          <w:lang w:val="hy-AM"/>
        </w:rPr>
        <w:t xml:space="preserve"> Օտարերկրյա (ոչ ռեզիդենտ) քաղաքացիների համար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 xml:space="preserve">ազմակերպիչն ինքնության ստուգումն (նույնականացում) իրականացվում է </w:t>
      </w:r>
      <w:r w:rsidR="00A21F6C" w:rsidRPr="00917693">
        <w:rPr>
          <w:rFonts w:ascii="GHEA Grapalat" w:hAnsi="GHEA Grapalat"/>
          <w:color w:val="000000"/>
          <w:lang w:val="hy-AM"/>
        </w:rPr>
        <w:t>կ</w:t>
      </w:r>
      <w:r w:rsidRPr="00917693">
        <w:rPr>
          <w:rFonts w:ascii="GHEA Grapalat" w:hAnsi="GHEA Grapalat"/>
          <w:color w:val="000000"/>
          <w:lang w:val="hy-AM"/>
        </w:rPr>
        <w:t xml:space="preserve">ազմակերպչին էլեկտրոնային հաղորդակցության համակարգի միջոցով անձնական տվյալների փոխանցմամբ, եթե դա չի հակասում </w:t>
      </w:r>
      <w:r w:rsidR="00ED1178" w:rsidRPr="00917693">
        <w:rPr>
          <w:rFonts w:ascii="GHEA Grapalat" w:hAnsi="GHEA Grapalat"/>
          <w:color w:val="000000"/>
          <w:lang w:val="hy-AM"/>
        </w:rPr>
        <w:t>Հայաստանի Հանրապետության</w:t>
      </w:r>
      <w:r w:rsidRPr="00917693">
        <w:rPr>
          <w:rFonts w:ascii="GHEA Grapalat" w:hAnsi="GHEA Grapalat"/>
          <w:color w:val="000000"/>
          <w:lang w:val="hy-AM"/>
        </w:rPr>
        <w:t xml:space="preserve"> միջազգային պայմանագրերով ստանձնած պարտավորություններին:</w:t>
      </w:r>
    </w:p>
    <w:p w14:paraId="2CC943E1" w14:textId="7DA9ED7F" w:rsidR="007D34B3" w:rsidRDefault="007D34B3" w:rsidP="00ED1178">
      <w:pPr>
        <w:spacing w:line="360" w:lineRule="auto"/>
        <w:rPr>
          <w:rFonts w:ascii="GHEA Grapalat" w:hAnsi="GHEA Grapalat"/>
          <w:lang w:val="hy-AM"/>
        </w:rPr>
      </w:pPr>
    </w:p>
    <w:p w14:paraId="7B091B44" w14:textId="77777777" w:rsidR="00917693" w:rsidRDefault="00917693" w:rsidP="00ED1178">
      <w:pPr>
        <w:spacing w:line="360" w:lineRule="auto"/>
        <w:rPr>
          <w:rFonts w:ascii="GHEA Grapalat" w:hAnsi="GHEA Grapalat"/>
          <w:lang w:val="hy-AM"/>
        </w:rPr>
      </w:pPr>
    </w:p>
    <w:p w14:paraId="3BD9DCC5" w14:textId="77777777" w:rsidR="00917693" w:rsidRPr="00917693" w:rsidRDefault="00917693" w:rsidP="00ED1178">
      <w:pPr>
        <w:spacing w:line="360" w:lineRule="auto"/>
        <w:rPr>
          <w:rFonts w:ascii="GHEA Grapalat" w:hAnsi="GHEA Grapalat"/>
          <w:lang w:val="hy-AM"/>
        </w:rPr>
      </w:pPr>
    </w:p>
    <w:sectPr w:rsidR="00917693" w:rsidRPr="00917693" w:rsidSect="00917693">
      <w:headerReference w:type="default" r:id="rId9"/>
      <w:pgSz w:w="11906" w:h="16838"/>
      <w:pgMar w:top="630" w:right="851" w:bottom="36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19CC9" w14:textId="77777777" w:rsidR="001037AD" w:rsidRDefault="001037AD">
      <w:r>
        <w:separator/>
      </w:r>
    </w:p>
  </w:endnote>
  <w:endnote w:type="continuationSeparator" w:id="0">
    <w:p w14:paraId="2757ECB6" w14:textId="77777777" w:rsidR="001037AD" w:rsidRDefault="0010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00DFD" w14:textId="77777777" w:rsidR="001037AD" w:rsidRDefault="001037AD">
      <w:r>
        <w:separator/>
      </w:r>
    </w:p>
  </w:footnote>
  <w:footnote w:type="continuationSeparator" w:id="0">
    <w:p w14:paraId="53F6D84D" w14:textId="77777777" w:rsidR="001037AD" w:rsidRDefault="0010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C31AD" w14:textId="77777777" w:rsidR="00461C38" w:rsidRDefault="00461C38" w:rsidP="00461C38">
    <w:pPr>
      <w:jc w:val="right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33F7"/>
    <w:multiLevelType w:val="hybridMultilevel"/>
    <w:tmpl w:val="6B2E2C5C"/>
    <w:lvl w:ilvl="0" w:tplc="4C582FB4">
      <w:start w:val="1"/>
      <w:numFmt w:val="decimal"/>
      <w:lvlText w:val="%1)"/>
      <w:lvlJc w:val="left"/>
      <w:pPr>
        <w:ind w:left="825" w:hanging="39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4417BA9"/>
    <w:multiLevelType w:val="hybridMultilevel"/>
    <w:tmpl w:val="C43A757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8B8231C"/>
    <w:multiLevelType w:val="hybridMultilevel"/>
    <w:tmpl w:val="7E04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B8E43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9C0A9C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016B"/>
    <w:multiLevelType w:val="hybridMultilevel"/>
    <w:tmpl w:val="2B70D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45CD"/>
    <w:multiLevelType w:val="hybridMultilevel"/>
    <w:tmpl w:val="B890F2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5C73"/>
    <w:multiLevelType w:val="hybridMultilevel"/>
    <w:tmpl w:val="650C00FC"/>
    <w:lvl w:ilvl="0" w:tplc="A2B6CE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3"/>
    <w:rsid w:val="001037AD"/>
    <w:rsid w:val="001946CC"/>
    <w:rsid w:val="00231EAA"/>
    <w:rsid w:val="002369BA"/>
    <w:rsid w:val="002D2E21"/>
    <w:rsid w:val="003A5D6A"/>
    <w:rsid w:val="003F53B8"/>
    <w:rsid w:val="00426C91"/>
    <w:rsid w:val="00461C38"/>
    <w:rsid w:val="00472F1B"/>
    <w:rsid w:val="004A2657"/>
    <w:rsid w:val="004C2D61"/>
    <w:rsid w:val="004E5F0D"/>
    <w:rsid w:val="005E2858"/>
    <w:rsid w:val="00660959"/>
    <w:rsid w:val="006C0D29"/>
    <w:rsid w:val="00747792"/>
    <w:rsid w:val="007A6C2D"/>
    <w:rsid w:val="007B3C83"/>
    <w:rsid w:val="007D34B3"/>
    <w:rsid w:val="0084188C"/>
    <w:rsid w:val="00853212"/>
    <w:rsid w:val="008635A3"/>
    <w:rsid w:val="008749D4"/>
    <w:rsid w:val="008772FE"/>
    <w:rsid w:val="00912012"/>
    <w:rsid w:val="00917693"/>
    <w:rsid w:val="009463C4"/>
    <w:rsid w:val="009643B1"/>
    <w:rsid w:val="009A5E5A"/>
    <w:rsid w:val="00A21F6C"/>
    <w:rsid w:val="00AD37C5"/>
    <w:rsid w:val="00B47C21"/>
    <w:rsid w:val="00B57CF0"/>
    <w:rsid w:val="00C24BB3"/>
    <w:rsid w:val="00CD1612"/>
    <w:rsid w:val="00D30182"/>
    <w:rsid w:val="00DC0741"/>
    <w:rsid w:val="00DD7AF5"/>
    <w:rsid w:val="00E43776"/>
    <w:rsid w:val="00E94008"/>
    <w:rsid w:val="00ED1178"/>
    <w:rsid w:val="00F05117"/>
    <w:rsid w:val="00F106CB"/>
    <w:rsid w:val="00F57121"/>
    <w:rsid w:val="00F6251A"/>
    <w:rsid w:val="00FC01D9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79C4"/>
  <w15:docId w15:val="{835C0113-4C91-4F21-871C-C409D64D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table" w:styleId="TableGrid">
    <w:name w:val="Table Grid"/>
    <w:basedOn w:val="TableNormal"/>
    <w:uiPriority w:val="39"/>
    <w:rsid w:val="00B57CF0"/>
    <w:pPr>
      <w:suppressAutoHyphens w:val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9463C4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7477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8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88FB-720C-4EF8-80E0-EFC38757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https:/mul2-mineconomy.gov.am/tasks/925792/oneclick?token=12fe6631b93dba3a3fa1da148e854c58</cp:keywords>
  <dc:description/>
  <cp:lastModifiedBy>Lia Zh. Avetisyan</cp:lastModifiedBy>
  <cp:revision>3</cp:revision>
  <dcterms:created xsi:type="dcterms:W3CDTF">2026-03-13T07:18:00Z</dcterms:created>
  <dcterms:modified xsi:type="dcterms:W3CDTF">2026-03-13T07:28:00Z</dcterms:modified>
  <dc:language>en-US</dc:language>
</cp:coreProperties>
</file>