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D47CF" w14:textId="4B5F1705" w:rsidR="00461C38" w:rsidRDefault="00461C38" w:rsidP="00DD7AF5">
      <w:pPr>
        <w:tabs>
          <w:tab w:val="left" w:pos="10206"/>
        </w:tabs>
        <w:spacing w:line="360" w:lineRule="auto"/>
        <w:jc w:val="right"/>
        <w:rPr>
          <w:rFonts w:ascii="GHEA Grapalat" w:hAnsi="GHEA Grapalat"/>
          <w:b/>
          <w:lang w:val="hy-AM"/>
        </w:rPr>
      </w:pPr>
      <w:r>
        <w:rPr>
          <w:rFonts w:ascii="GHEA Grapalat" w:hAnsi="GHEA Grapalat"/>
          <w:b/>
          <w:lang w:val="hy-AM"/>
        </w:rPr>
        <w:t>ՆԱԽԱԳԻԾ</w:t>
      </w:r>
      <w:r>
        <w:rPr>
          <w:rFonts w:ascii="GHEA Grapalat" w:hAnsi="GHEA Grapalat"/>
          <w:b/>
          <w:noProof/>
          <w:lang w:val="hy-AM"/>
        </w:rPr>
        <w:drawing>
          <wp:anchor distT="0" distB="0" distL="0" distR="0" simplePos="0" relativeHeight="2" behindDoc="0" locked="0" layoutInCell="0" allowOverlap="1" wp14:anchorId="403DD219" wp14:editId="6AEE8E65">
            <wp:simplePos x="0" y="0"/>
            <wp:positionH relativeFrom="margin">
              <wp:posOffset>2520315</wp:posOffset>
            </wp:positionH>
            <wp:positionV relativeFrom="margin">
              <wp:posOffset>590550</wp:posOffset>
            </wp:positionV>
            <wp:extent cx="1334770" cy="11582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334770" cy="1158240"/>
                    </a:xfrm>
                    <a:prstGeom prst="rect">
                      <a:avLst/>
                    </a:prstGeom>
                  </pic:spPr>
                </pic:pic>
              </a:graphicData>
            </a:graphic>
          </wp:anchor>
        </w:drawing>
      </w:r>
    </w:p>
    <w:p w14:paraId="4BB6A57D" w14:textId="434F9539" w:rsidR="007D34B3" w:rsidRDefault="00461C38" w:rsidP="00461C38">
      <w:pPr>
        <w:tabs>
          <w:tab w:val="left" w:pos="10206"/>
        </w:tabs>
        <w:spacing w:line="360" w:lineRule="auto"/>
        <w:rPr>
          <w:rFonts w:ascii="GHEA Grapalat" w:hAnsi="GHEA Grapalat"/>
          <w:b/>
          <w:lang w:val="hy-AM"/>
        </w:rPr>
      </w:pPr>
      <w:r>
        <w:rPr>
          <w:rFonts w:ascii="GHEA Grapalat" w:hAnsi="GHEA Grapalat"/>
          <w:b/>
          <w:lang w:val="hy-AM"/>
        </w:rPr>
        <w:t xml:space="preserve">  </w:t>
      </w:r>
    </w:p>
    <w:p w14:paraId="38F781C1" w14:textId="77777777" w:rsidR="007D34B3" w:rsidRDefault="007D34B3">
      <w:pPr>
        <w:tabs>
          <w:tab w:val="left" w:pos="10206"/>
        </w:tabs>
        <w:spacing w:line="360" w:lineRule="auto"/>
        <w:jc w:val="center"/>
        <w:rPr>
          <w:rFonts w:ascii="GHEA Grapalat" w:hAnsi="GHEA Grapalat"/>
          <w:b/>
          <w:lang w:val="hy-AM"/>
        </w:rPr>
      </w:pPr>
    </w:p>
    <w:p w14:paraId="0A399EAF" w14:textId="77777777" w:rsidR="007D34B3" w:rsidRDefault="007D34B3">
      <w:pPr>
        <w:tabs>
          <w:tab w:val="left" w:pos="10206"/>
        </w:tabs>
        <w:spacing w:line="360" w:lineRule="auto"/>
        <w:jc w:val="center"/>
        <w:rPr>
          <w:rFonts w:ascii="GHEA Grapalat" w:hAnsi="GHEA Grapalat"/>
          <w:b/>
          <w:lang w:val="hy-AM"/>
        </w:rPr>
      </w:pPr>
    </w:p>
    <w:p w14:paraId="5F8963AF" w14:textId="77777777" w:rsidR="007D34B3" w:rsidRDefault="007D34B3">
      <w:pPr>
        <w:tabs>
          <w:tab w:val="left" w:pos="10206"/>
        </w:tabs>
        <w:spacing w:line="360" w:lineRule="auto"/>
        <w:jc w:val="center"/>
        <w:rPr>
          <w:rFonts w:ascii="GHEA Grapalat" w:hAnsi="GHEA Grapalat"/>
          <w:b/>
          <w:lang w:val="hy-AM"/>
        </w:rPr>
      </w:pPr>
    </w:p>
    <w:p w14:paraId="34C20EAF" w14:textId="77777777" w:rsidR="007D34B3" w:rsidRDefault="007D34B3">
      <w:pPr>
        <w:tabs>
          <w:tab w:val="left" w:pos="10206"/>
        </w:tabs>
        <w:spacing w:line="360" w:lineRule="auto"/>
        <w:jc w:val="center"/>
        <w:rPr>
          <w:rFonts w:ascii="GHEA Grapalat" w:hAnsi="GHEA Grapalat"/>
          <w:b/>
          <w:lang w:val="hy-AM"/>
        </w:rPr>
      </w:pPr>
    </w:p>
    <w:p w14:paraId="13BA2ED0" w14:textId="77777777" w:rsidR="007D34B3" w:rsidRDefault="00F6251A">
      <w:pPr>
        <w:tabs>
          <w:tab w:val="left" w:pos="10206"/>
        </w:tabs>
        <w:spacing w:line="360" w:lineRule="auto"/>
        <w:jc w:val="center"/>
        <w:rPr>
          <w:rFonts w:ascii="GHEA Grapalat" w:hAnsi="GHEA Grapalat"/>
          <w:lang w:val="hy-AM"/>
        </w:rPr>
      </w:pPr>
      <w:r>
        <w:rPr>
          <w:rFonts w:ascii="GHEA Grapalat" w:hAnsi="GHEA Grapalat"/>
          <w:b/>
          <w:lang w:val="hy-AM"/>
        </w:rPr>
        <w:t>ՀԱՅԱՍՏԱՆԻ ՀԱՆՐԱՊԵՏՈՒԹՅԱՆ</w:t>
      </w:r>
    </w:p>
    <w:p w14:paraId="30FF6945" w14:textId="70710374" w:rsidR="007D34B3" w:rsidRPr="009463C4" w:rsidRDefault="00F6251A" w:rsidP="009463C4">
      <w:pPr>
        <w:tabs>
          <w:tab w:val="left" w:pos="10206"/>
        </w:tabs>
        <w:spacing w:line="360" w:lineRule="auto"/>
        <w:jc w:val="center"/>
        <w:rPr>
          <w:rFonts w:ascii="GHEA Grapalat" w:hAnsi="GHEA Grapalat"/>
          <w:lang w:val="hy-AM"/>
        </w:rPr>
      </w:pPr>
      <w:r>
        <w:rPr>
          <w:rFonts w:ascii="GHEA Grapalat" w:hAnsi="GHEA Grapalat"/>
          <w:b/>
          <w:lang w:val="hy-AM"/>
        </w:rPr>
        <w:t>ԷԿՈՆՈՄԻԿԱՅԻ ՆԱԽԱՐԱՐ</w:t>
      </w:r>
    </w:p>
    <w:p w14:paraId="517656CE" w14:textId="77777777" w:rsidR="007D34B3" w:rsidRDefault="00F6251A">
      <w:pPr>
        <w:tabs>
          <w:tab w:val="left" w:pos="10206"/>
        </w:tabs>
        <w:spacing w:line="360" w:lineRule="auto"/>
        <w:jc w:val="center"/>
        <w:rPr>
          <w:rFonts w:ascii="GHEA Grapalat" w:hAnsi="GHEA Grapalat"/>
          <w:b/>
          <w:sz w:val="28"/>
          <w:szCs w:val="28"/>
          <w:lang w:val="hy-AM"/>
        </w:rPr>
      </w:pPr>
      <w:r>
        <w:rPr>
          <w:rFonts w:ascii="GHEA Grapalat" w:hAnsi="GHEA Grapalat"/>
          <w:b/>
          <w:sz w:val="28"/>
          <w:szCs w:val="28"/>
          <w:lang w:val="hy-AM"/>
        </w:rPr>
        <w:t xml:space="preserve">Հ Ր Ա Մ Ա Ն </w:t>
      </w:r>
    </w:p>
    <w:p w14:paraId="43ECF567" w14:textId="77777777" w:rsidR="007D34B3" w:rsidRDefault="007D34B3">
      <w:pPr>
        <w:tabs>
          <w:tab w:val="left" w:pos="10206"/>
        </w:tabs>
        <w:spacing w:line="360" w:lineRule="auto"/>
        <w:jc w:val="center"/>
        <w:rPr>
          <w:rFonts w:ascii="GHEA Grapalat" w:hAnsi="GHEA Grapalat"/>
          <w:b/>
          <w:sz w:val="28"/>
          <w:szCs w:val="28"/>
          <w:lang w:val="hy-AM"/>
        </w:rPr>
      </w:pPr>
    </w:p>
    <w:p w14:paraId="6963AAA6" w14:textId="5E5FEA12" w:rsidR="00912012" w:rsidRPr="004E4D0E" w:rsidRDefault="00F6251A" w:rsidP="004E4D0E">
      <w:pPr>
        <w:spacing w:line="360" w:lineRule="auto"/>
        <w:rPr>
          <w:rFonts w:ascii="GHEA Grapalat" w:hAnsi="GHEA Grapalat"/>
          <w:sz w:val="20"/>
          <w:szCs w:val="20"/>
          <w:lang w:val="hy-AM"/>
        </w:rPr>
      </w:pPr>
      <w:r>
        <w:rPr>
          <w:rFonts w:ascii="GHEA Grapalat" w:hAnsi="GHEA Grapalat"/>
          <w:b/>
          <w:sz w:val="20"/>
          <w:szCs w:val="20"/>
          <w:lang w:val="hy-AM"/>
        </w:rPr>
        <w:t>ք</w:t>
      </w:r>
      <w:r>
        <w:rPr>
          <w:rFonts w:ascii="GHEA Grapalat" w:eastAsia="MS Mincho" w:hAnsi="GHEA Grapalat" w:cs="MS Mincho"/>
          <w:b/>
          <w:sz w:val="20"/>
          <w:szCs w:val="20"/>
          <w:lang w:val="hy-AM"/>
        </w:rPr>
        <w:t>․Երևան</w:t>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hAnsi="GHEA Grapalat"/>
          <w:sz w:val="20"/>
          <w:szCs w:val="20"/>
          <w:lang w:val="hy-AM"/>
        </w:rPr>
        <w:t>«____»_____________202</w:t>
      </w:r>
      <w:r w:rsidR="005C1ABE">
        <w:rPr>
          <w:rFonts w:ascii="GHEA Grapalat" w:hAnsi="GHEA Grapalat"/>
          <w:sz w:val="20"/>
          <w:szCs w:val="20"/>
          <w:lang w:val="hy-AM"/>
        </w:rPr>
        <w:t>6</w:t>
      </w:r>
      <w:r>
        <w:rPr>
          <w:rFonts w:ascii="GHEA Grapalat" w:hAnsi="GHEA Grapalat"/>
          <w:sz w:val="20"/>
          <w:szCs w:val="20"/>
          <w:lang w:val="hy-AM"/>
        </w:rPr>
        <w:t>թ N</w:t>
      </w:r>
      <w:r>
        <w:rPr>
          <w:rFonts w:ascii="GHEA Grapalat" w:hAnsi="GHEA Grapalat"/>
          <w:sz w:val="20"/>
          <w:szCs w:val="20"/>
          <w:u w:val="single"/>
          <w:vertAlign w:val="superscript"/>
          <w:lang w:val="hy-AM"/>
        </w:rPr>
        <w:t>o</w:t>
      </w:r>
      <w:r>
        <w:rPr>
          <w:rFonts w:ascii="GHEA Grapalat" w:hAnsi="GHEA Grapalat"/>
          <w:sz w:val="20"/>
          <w:szCs w:val="20"/>
          <w:lang w:val="hy-AM"/>
        </w:rPr>
        <w:t>_______</w:t>
      </w:r>
      <w:r w:rsidR="004E4D0E">
        <w:rPr>
          <w:rFonts w:ascii="GHEA Grapalat" w:hAnsi="GHEA Grapalat"/>
          <w:sz w:val="20"/>
          <w:szCs w:val="20"/>
          <w:lang w:val="hy-AM"/>
        </w:rPr>
        <w:t>Ն</w:t>
      </w:r>
    </w:p>
    <w:p w14:paraId="2F96983E" w14:textId="77777777" w:rsidR="00912012" w:rsidRPr="00912012" w:rsidRDefault="00912012" w:rsidP="00912012">
      <w:pPr>
        <w:ind w:firstLine="375"/>
        <w:jc w:val="center"/>
        <w:rPr>
          <w:rFonts w:ascii="GHEA Grapalat" w:hAnsi="GHEA Grapalat"/>
          <w:lang w:val="hy-AM"/>
        </w:rPr>
      </w:pPr>
      <w:r w:rsidRPr="00912012">
        <w:rPr>
          <w:rFonts w:cs="Calibri"/>
          <w:lang w:val="hy-AM"/>
        </w:rPr>
        <w:t> </w:t>
      </w:r>
    </w:p>
    <w:p w14:paraId="69CBB3D3" w14:textId="77777777" w:rsidR="00FC5C6F" w:rsidRPr="00FC5C6F" w:rsidRDefault="00FC5C6F" w:rsidP="00FC5C6F">
      <w:pPr>
        <w:jc w:val="center"/>
        <w:rPr>
          <w:rFonts w:ascii="GHEA Grapalat" w:hAnsi="GHEA Grapalat"/>
          <w:lang w:val="hy-AM"/>
        </w:rPr>
      </w:pPr>
      <w:r w:rsidRPr="00FC5C6F">
        <w:rPr>
          <w:rFonts w:ascii="GHEA Grapalat" w:hAnsi="GHEA Grapalat"/>
          <w:b/>
          <w:bCs/>
          <w:lang w:val="hy-AM"/>
        </w:rPr>
        <w:t>ԻՆՏԵՐՆԵՏ ՇԱՀՈՒՄՈՎ ԽԱՂԻ ԿԱԶՄԱԿԵՐՊԻՉԻ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w:t>
      </w:r>
      <w:r w:rsidRPr="00FC5C6F">
        <w:rPr>
          <w:rFonts w:ascii="Calibri" w:hAnsi="Calibri" w:cs="Calibri"/>
          <w:b/>
          <w:bCs/>
          <w:lang w:val="hy-AM"/>
        </w:rPr>
        <w:t> </w:t>
      </w:r>
      <w:r w:rsidRPr="00FC5C6F">
        <w:rPr>
          <w:rFonts w:ascii="GHEA Grapalat" w:hAnsi="GHEA Grapalat" w:cs="GHEA Grapalat"/>
          <w:b/>
          <w:bCs/>
          <w:lang w:val="hy-AM"/>
        </w:rPr>
        <w:t>ՍՏՈՒԳՄԱՆ</w:t>
      </w:r>
      <w:r w:rsidRPr="00FC5C6F">
        <w:rPr>
          <w:rFonts w:ascii="Calibri" w:hAnsi="Calibri" w:cs="Calibri"/>
          <w:b/>
          <w:bCs/>
          <w:lang w:val="hy-AM"/>
        </w:rPr>
        <w:t> </w:t>
      </w:r>
      <w:r w:rsidRPr="00FC5C6F">
        <w:rPr>
          <w:rFonts w:ascii="GHEA Grapalat" w:hAnsi="GHEA Grapalat" w:cs="GHEA Grapalat"/>
          <w:b/>
          <w:bCs/>
          <w:lang w:val="hy-AM"/>
        </w:rPr>
        <w:t>ԿԱՐԳԸ</w:t>
      </w:r>
      <w:r w:rsidRPr="00FC5C6F">
        <w:rPr>
          <w:rFonts w:ascii="GHEA Grapalat" w:hAnsi="GHEA Grapalat"/>
          <w:b/>
          <w:bCs/>
          <w:lang w:val="hy-AM"/>
        </w:rPr>
        <w:t xml:space="preserve"> </w:t>
      </w:r>
      <w:r w:rsidRPr="00FC5C6F">
        <w:rPr>
          <w:rFonts w:ascii="GHEA Grapalat" w:hAnsi="GHEA Grapalat" w:cs="GHEA Grapalat"/>
          <w:b/>
          <w:bCs/>
          <w:lang w:val="hy-AM"/>
        </w:rPr>
        <w:t>ՍԱՀՄԱՆԵԼՈՒ</w:t>
      </w:r>
      <w:r w:rsidRPr="00FC5C6F">
        <w:rPr>
          <w:rFonts w:ascii="Calibri" w:hAnsi="Calibri" w:cs="Calibri"/>
          <w:b/>
          <w:bCs/>
          <w:lang w:val="hy-AM"/>
        </w:rPr>
        <w:t> </w:t>
      </w:r>
      <w:r w:rsidRPr="00FC5C6F">
        <w:rPr>
          <w:rFonts w:ascii="GHEA Grapalat" w:hAnsi="GHEA Grapalat" w:cs="GHEA Grapalat"/>
          <w:b/>
          <w:bCs/>
          <w:lang w:val="hy-AM"/>
        </w:rPr>
        <w:t>ՄԱՍԻՆ</w:t>
      </w:r>
    </w:p>
    <w:p w14:paraId="46BEA40E" w14:textId="77777777" w:rsidR="00FC5C6F" w:rsidRPr="00FC5C6F" w:rsidRDefault="00FC5C6F" w:rsidP="00FC5C6F">
      <w:pPr>
        <w:rPr>
          <w:rFonts w:ascii="GHEA Grapalat" w:hAnsi="GHEA Grapalat"/>
          <w:lang w:val="hy-AM"/>
        </w:rPr>
      </w:pPr>
      <w:r w:rsidRPr="00FC5C6F">
        <w:rPr>
          <w:rFonts w:ascii="Calibri" w:hAnsi="Calibri" w:cs="Calibri"/>
          <w:lang w:val="hy-AM"/>
        </w:rPr>
        <w:t> </w:t>
      </w:r>
    </w:p>
    <w:p w14:paraId="1AA89756" w14:textId="4E671C77" w:rsidR="00FC5C6F" w:rsidRPr="00FC5C6F" w:rsidRDefault="00E6625F" w:rsidP="00FC5C6F">
      <w:pPr>
        <w:tabs>
          <w:tab w:val="left" w:pos="285"/>
        </w:tabs>
        <w:spacing w:line="360" w:lineRule="auto"/>
        <w:jc w:val="both"/>
        <w:rPr>
          <w:rFonts w:ascii="GHEA Grapalat" w:hAnsi="GHEA Grapalat"/>
          <w:lang w:val="hy-AM"/>
        </w:rPr>
      </w:pPr>
      <w:r>
        <w:rPr>
          <w:rFonts w:ascii="GHEA Grapalat" w:hAnsi="GHEA Grapalat"/>
          <w:lang w:val="hy-AM"/>
        </w:rPr>
        <w:tab/>
      </w:r>
      <w:r w:rsidR="00FC5C6F" w:rsidRPr="00FF4532">
        <w:rPr>
          <w:rFonts w:ascii="GHEA Grapalat" w:hAnsi="GHEA Grapalat"/>
          <w:lang w:val="hy-AM"/>
        </w:rPr>
        <w:t xml:space="preserve">Ղեկավարվելով </w:t>
      </w:r>
      <w:bookmarkStart w:id="0" w:name="_Hlk215476506"/>
      <w:r w:rsidR="00FC5C6F" w:rsidRPr="00FC5C6F">
        <w:rPr>
          <w:rFonts w:ascii="GHEA Grapalat" w:hAnsi="GHEA Grapalat"/>
          <w:lang w:val="hy-AM"/>
        </w:rPr>
        <w:t>«Շահումով խաղերի, ինտերնետ շահումով խաղերի և խաղատների մասին» օրենքի 6-րդ հոդվածի 2.1-րդ մասի «դ» կետ</w:t>
      </w:r>
      <w:bookmarkEnd w:id="0"/>
      <w:r w:rsidR="00FC5C6F" w:rsidRPr="00FF4532">
        <w:rPr>
          <w:rFonts w:ascii="GHEA Grapalat" w:hAnsi="GHEA Grapalat"/>
          <w:lang w:val="hy-AM"/>
        </w:rPr>
        <w:t>ով, հիմք ընդունելով «Կառավարության կառուցվածքի և գործունեության մասին» օրենքով հաստատված հավելվածի 15-րդ կետը, ինչպես նաև Հայաստանի Հանրապետության վարչապետի 2019 թվականի հունիսի 1-ի N 658-Լ որոշմամբ հաստատված հավելվածի 11-րդ կետի 49</w:t>
      </w:r>
      <w:r w:rsidR="00FC5C6F" w:rsidRPr="00FF4532">
        <w:rPr>
          <w:rFonts w:ascii="Cambria Math" w:hAnsi="Cambria Math" w:cs="Cambria Math"/>
          <w:lang w:val="hy-AM"/>
        </w:rPr>
        <w:t>․</w:t>
      </w:r>
      <w:r w:rsidR="00FC5C6F" w:rsidRPr="00FF4532">
        <w:rPr>
          <w:rFonts w:ascii="GHEA Grapalat" w:hAnsi="GHEA Grapalat"/>
          <w:lang w:val="hy-AM"/>
        </w:rPr>
        <w:t>1-րդ և 18-րդ կետի 21-րդ ենթակետերը</w:t>
      </w:r>
      <w:r w:rsidR="00FC5C6F" w:rsidRPr="00FF4532">
        <w:rPr>
          <w:rFonts w:ascii="Cambria Math" w:hAnsi="Cambria Math" w:cs="Cambria Math"/>
          <w:lang w:val="hy-AM"/>
        </w:rPr>
        <w:t>․</w:t>
      </w:r>
    </w:p>
    <w:p w14:paraId="50C28772" w14:textId="77777777" w:rsidR="00FC5C6F" w:rsidRPr="00FC5C6F" w:rsidRDefault="00FC5C6F" w:rsidP="00FC5C6F">
      <w:pPr>
        <w:ind w:firstLine="375"/>
        <w:rPr>
          <w:rFonts w:ascii="GHEA Grapalat" w:hAnsi="GHEA Grapalat"/>
          <w:lang w:val="hy-AM"/>
        </w:rPr>
      </w:pPr>
      <w:r w:rsidRPr="00FC5C6F">
        <w:rPr>
          <w:rFonts w:ascii="Calibri" w:hAnsi="Calibri" w:cs="Calibri"/>
          <w:lang w:val="hy-AM"/>
        </w:rPr>
        <w:t> </w:t>
      </w:r>
    </w:p>
    <w:p w14:paraId="51D30C03" w14:textId="77777777" w:rsidR="00FC5C6F" w:rsidRPr="00FC5C6F" w:rsidRDefault="00FC5C6F" w:rsidP="00FC5C6F">
      <w:pPr>
        <w:jc w:val="center"/>
        <w:rPr>
          <w:rFonts w:ascii="GHEA Grapalat" w:hAnsi="GHEA Grapalat"/>
          <w:lang w:val="hy-AM"/>
        </w:rPr>
      </w:pPr>
      <w:r w:rsidRPr="00FC5C6F">
        <w:rPr>
          <w:rFonts w:ascii="GHEA Grapalat" w:hAnsi="GHEA Grapalat"/>
          <w:b/>
          <w:bCs/>
          <w:i/>
          <w:iCs/>
          <w:lang w:val="hy-AM"/>
        </w:rPr>
        <w:t>Հրամայում</w:t>
      </w:r>
      <w:r w:rsidRPr="00FC5C6F">
        <w:rPr>
          <w:rFonts w:ascii="Calibri" w:hAnsi="Calibri" w:cs="Calibri"/>
          <w:b/>
          <w:bCs/>
          <w:i/>
          <w:iCs/>
          <w:lang w:val="hy-AM"/>
        </w:rPr>
        <w:t> </w:t>
      </w:r>
      <w:r w:rsidRPr="00FC5C6F">
        <w:rPr>
          <w:rFonts w:ascii="GHEA Grapalat" w:hAnsi="GHEA Grapalat" w:cs="GHEA Grapalat"/>
          <w:b/>
          <w:bCs/>
          <w:i/>
          <w:iCs/>
          <w:lang w:val="hy-AM"/>
        </w:rPr>
        <w:t>եմ</w:t>
      </w:r>
      <w:r w:rsidRPr="00FC5C6F">
        <w:rPr>
          <w:rFonts w:ascii="GHEA Grapalat" w:hAnsi="GHEA Grapalat"/>
          <w:b/>
          <w:bCs/>
          <w:i/>
          <w:iCs/>
          <w:lang w:val="hy-AM"/>
        </w:rPr>
        <w:t>`</w:t>
      </w:r>
    </w:p>
    <w:p w14:paraId="2880A2A3" w14:textId="77777777" w:rsidR="00FC5C6F" w:rsidRPr="00FC5C6F" w:rsidRDefault="00FC5C6F" w:rsidP="00FC5C6F">
      <w:pPr>
        <w:rPr>
          <w:rFonts w:ascii="GHEA Grapalat" w:hAnsi="GHEA Grapalat"/>
          <w:lang w:val="hy-AM"/>
        </w:rPr>
      </w:pPr>
      <w:r w:rsidRPr="00FC5C6F">
        <w:rPr>
          <w:rFonts w:ascii="Calibri" w:hAnsi="Calibri" w:cs="Calibri"/>
          <w:lang w:val="hy-AM"/>
        </w:rPr>
        <w:t> </w:t>
      </w:r>
    </w:p>
    <w:p w14:paraId="69EC0EFE" w14:textId="127D2C13" w:rsidR="00FC5C6F" w:rsidRPr="00FC5C6F" w:rsidRDefault="00FC5C6F" w:rsidP="00FC5C6F">
      <w:pPr>
        <w:spacing w:line="360" w:lineRule="auto"/>
        <w:ind w:firstLine="375"/>
        <w:jc w:val="both"/>
        <w:rPr>
          <w:rFonts w:ascii="GHEA Grapalat" w:hAnsi="GHEA Grapalat"/>
          <w:lang w:val="hy-AM"/>
        </w:rPr>
      </w:pPr>
      <w:r w:rsidRPr="00FC5C6F">
        <w:rPr>
          <w:rFonts w:ascii="GHEA Grapalat" w:hAnsi="GHEA Grapalat"/>
          <w:lang w:val="hy-AM"/>
        </w:rPr>
        <w:t>1. Սահմանել` Ինտերնետ շահումով խաղի կազմակերպչի կողմից հատուկ խաղային հաշիվը համալրելու համար օգտագործվող բանկային հաշիվը կամ քարտը տվյալ՝ հատուկ խաղային հաշվի իրավատեր խաղացողին պատկանելու հանգամանքի ստուգման կարգը՝ համաձայն հավելվածի</w:t>
      </w:r>
      <w:r w:rsidR="002460CD">
        <w:rPr>
          <w:rFonts w:ascii="GHEA Grapalat" w:hAnsi="GHEA Grapalat"/>
          <w:lang w:val="hy-AM"/>
        </w:rPr>
        <w:t>։</w:t>
      </w:r>
    </w:p>
    <w:p w14:paraId="200826ED" w14:textId="4B975AC1" w:rsidR="00FC5C6F" w:rsidRPr="00FC5C6F" w:rsidRDefault="00FC5C6F" w:rsidP="00FC5C6F">
      <w:pPr>
        <w:spacing w:line="360" w:lineRule="auto"/>
        <w:ind w:firstLine="375"/>
        <w:jc w:val="both"/>
        <w:rPr>
          <w:rFonts w:ascii="GHEA Grapalat" w:hAnsi="GHEA Grapalat"/>
          <w:lang w:val="hy-AM"/>
        </w:rPr>
      </w:pPr>
      <w:r w:rsidRPr="00FC5C6F">
        <w:rPr>
          <w:rFonts w:ascii="GHEA Grapalat" w:hAnsi="GHEA Grapalat"/>
          <w:lang w:val="hy-AM"/>
        </w:rPr>
        <w:t>2. Սույն հրամանն ուժի մեջ է մտնում պաշտոնական հրապարակմանը հաջորդող օրվանից</w:t>
      </w:r>
      <w:r w:rsidR="00CB0121">
        <w:rPr>
          <w:rFonts w:ascii="GHEA Grapalat" w:hAnsi="GHEA Grapalat"/>
          <w:lang w:val="hy-AM"/>
        </w:rPr>
        <w:t xml:space="preserve"> </w:t>
      </w:r>
      <w:r w:rsidR="00CB0121" w:rsidRPr="004D6C3B">
        <w:rPr>
          <w:rFonts w:ascii="GHEA Grapalat" w:hAnsi="GHEA Grapalat"/>
          <w:lang w:val="hy-AM"/>
        </w:rPr>
        <w:t>և գործում է մինչև</w:t>
      </w:r>
      <w:r w:rsidR="00CB0121" w:rsidRPr="00E47915">
        <w:rPr>
          <w:lang w:val="hy-AM"/>
        </w:rPr>
        <w:t xml:space="preserve"> </w:t>
      </w:r>
      <w:r w:rsidR="00CB0121" w:rsidRPr="004D6C3B">
        <w:rPr>
          <w:rFonts w:ascii="GHEA Grapalat" w:hAnsi="GHEA Grapalat"/>
          <w:lang w:val="hy-AM"/>
        </w:rPr>
        <w:t>«Խաղային</w:t>
      </w:r>
      <w:r w:rsidR="00CB0121">
        <w:rPr>
          <w:rFonts w:ascii="GHEA Grapalat" w:hAnsi="GHEA Grapalat"/>
          <w:lang w:val="hy-AM"/>
        </w:rPr>
        <w:t xml:space="preserve"> </w:t>
      </w:r>
      <w:r w:rsidR="00CB0121" w:rsidRPr="004D6C3B">
        <w:rPr>
          <w:rFonts w:ascii="GHEA Grapalat" w:hAnsi="GHEA Grapalat"/>
          <w:lang w:val="hy-AM"/>
        </w:rPr>
        <w:t>գործունեության</w:t>
      </w:r>
      <w:r w:rsidR="00CB0121">
        <w:rPr>
          <w:rFonts w:ascii="GHEA Grapalat" w:hAnsi="GHEA Grapalat"/>
          <w:lang w:val="hy-AM"/>
        </w:rPr>
        <w:t xml:space="preserve"> </w:t>
      </w:r>
      <w:r w:rsidR="00CB0121" w:rsidRPr="004D6C3B">
        <w:rPr>
          <w:rFonts w:ascii="GHEA Grapalat" w:hAnsi="GHEA Grapalat"/>
          <w:lang w:val="hy-AM"/>
        </w:rPr>
        <w:t>կարգավորման</w:t>
      </w:r>
      <w:r w:rsidR="00CB0121">
        <w:rPr>
          <w:rFonts w:ascii="GHEA Grapalat" w:hAnsi="GHEA Grapalat"/>
          <w:lang w:val="hy-AM"/>
        </w:rPr>
        <w:t xml:space="preserve"> </w:t>
      </w:r>
      <w:r w:rsidR="00CB0121" w:rsidRPr="004D6C3B">
        <w:rPr>
          <w:rFonts w:ascii="GHEA Grapalat" w:hAnsi="GHEA Grapalat"/>
          <w:lang w:val="hy-AM"/>
        </w:rPr>
        <w:t>մասին</w:t>
      </w:r>
      <w:r w:rsidR="00CB0121">
        <w:rPr>
          <w:rFonts w:ascii="GHEA Grapalat" w:hAnsi="GHEA Grapalat"/>
          <w:lang w:val="hy-AM"/>
        </w:rPr>
        <w:t xml:space="preserve">» </w:t>
      </w:r>
      <w:r w:rsidR="00CB0121" w:rsidRPr="004D6C3B">
        <w:rPr>
          <w:rFonts w:ascii="GHEA Grapalat" w:hAnsi="GHEA Grapalat"/>
          <w:lang w:val="hy-AM"/>
        </w:rPr>
        <w:t>օրենքի</w:t>
      </w:r>
      <w:r w:rsidR="00CB0121">
        <w:rPr>
          <w:rFonts w:ascii="GHEA Grapalat" w:hAnsi="GHEA Grapalat"/>
          <w:lang w:val="hy-AM"/>
        </w:rPr>
        <w:t xml:space="preserve"> գործողության մեջ դրվելու օրը։</w:t>
      </w:r>
    </w:p>
    <w:p w14:paraId="2D4F5002" w14:textId="40DF24E6" w:rsidR="00FC5C6F" w:rsidRPr="00D933F4" w:rsidRDefault="00FC5C6F" w:rsidP="00CB0121">
      <w:pPr>
        <w:spacing w:line="360" w:lineRule="auto"/>
        <w:ind w:firstLine="375"/>
        <w:jc w:val="both"/>
        <w:rPr>
          <w:rFonts w:ascii="GHEA Grapalat" w:hAnsi="GHEA Grapalat" w:cs="GHEA Grapalat"/>
          <w:b/>
          <w:bCs/>
          <w:lang w:val="hy-AM"/>
        </w:rPr>
      </w:pPr>
      <w:r w:rsidRPr="00FC5C6F">
        <w:rPr>
          <w:rFonts w:ascii="Calibri" w:hAnsi="Calibri" w:cs="Calibri"/>
          <w:lang w:val="hy-AM"/>
        </w:rPr>
        <w:t> </w:t>
      </w:r>
      <w:r w:rsidRPr="00D933F4">
        <w:rPr>
          <w:rFonts w:ascii="GHEA Grapalat" w:hAnsi="GHEA Grapalat"/>
          <w:b/>
          <w:bCs/>
          <w:lang w:val="hy-AM"/>
        </w:rPr>
        <w:t xml:space="preserve">                                                                                                       Գ</w:t>
      </w:r>
      <w:r w:rsidRPr="00D933F4">
        <w:rPr>
          <w:rFonts w:ascii="Cambria Math" w:hAnsi="Cambria Math" w:cs="Cambria Math"/>
          <w:b/>
          <w:bCs/>
          <w:lang w:val="hy-AM"/>
        </w:rPr>
        <w:t>․</w:t>
      </w:r>
      <w:r w:rsidRPr="00D933F4">
        <w:rPr>
          <w:rFonts w:ascii="GHEA Grapalat" w:hAnsi="GHEA Grapalat"/>
          <w:b/>
          <w:bCs/>
          <w:lang w:val="hy-AM"/>
        </w:rPr>
        <w:t xml:space="preserve"> </w:t>
      </w:r>
      <w:r w:rsidRPr="00D933F4">
        <w:rPr>
          <w:rFonts w:ascii="GHEA Grapalat" w:hAnsi="GHEA Grapalat" w:cs="GHEA Grapalat"/>
          <w:b/>
          <w:bCs/>
          <w:lang w:val="hy-AM"/>
        </w:rPr>
        <w:t>Պ</w:t>
      </w:r>
      <w:r>
        <w:rPr>
          <w:rFonts w:ascii="GHEA Grapalat" w:hAnsi="GHEA Grapalat" w:cs="GHEA Grapalat"/>
          <w:b/>
          <w:bCs/>
          <w:lang w:val="hy-AM"/>
        </w:rPr>
        <w:t>ԱՊՈՅԱՆ</w:t>
      </w:r>
    </w:p>
    <w:p w14:paraId="7EB2706A" w14:textId="77777777" w:rsidR="00FC5C6F" w:rsidRDefault="00FC5C6F" w:rsidP="00FC5C6F">
      <w:pPr>
        <w:rPr>
          <w:rFonts w:ascii="GHEA Grapalat" w:hAnsi="GHEA Grapalat" w:cs="GHEA Grapalat"/>
          <w:lang w:val="hy-AM"/>
        </w:rPr>
      </w:pPr>
    </w:p>
    <w:p w14:paraId="1E8F8E37" w14:textId="77777777" w:rsidR="00FC5C6F" w:rsidRDefault="00FC5C6F" w:rsidP="00FC5C6F">
      <w:pPr>
        <w:ind w:firstLine="375"/>
        <w:jc w:val="center"/>
        <w:rPr>
          <w:rFonts w:ascii="GHEA Grapalat" w:hAnsi="GHEA Grapalat" w:cs="GHEA Grapalat"/>
          <w:lang w:val="hy-AM"/>
        </w:rPr>
      </w:pPr>
    </w:p>
    <w:p w14:paraId="044FA9A1" w14:textId="77777777" w:rsidR="00FC5C6F" w:rsidRDefault="00FC5C6F" w:rsidP="00FC5C6F">
      <w:pPr>
        <w:ind w:firstLine="375"/>
        <w:jc w:val="center"/>
        <w:rPr>
          <w:rFonts w:ascii="GHEA Grapalat" w:hAnsi="GHEA Grapalat" w:cs="GHEA Grapalat"/>
          <w:lang w:val="hy-AM"/>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400"/>
        <w:gridCol w:w="4521"/>
      </w:tblGrid>
      <w:tr w:rsidR="00FC5C6F" w:rsidRPr="00E163B4" w14:paraId="11B1E94F" w14:textId="77777777" w:rsidTr="00734471">
        <w:trPr>
          <w:tblCellSpacing w:w="7" w:type="dxa"/>
        </w:trPr>
        <w:tc>
          <w:tcPr>
            <w:tcW w:w="0" w:type="auto"/>
            <w:vAlign w:val="center"/>
            <w:hideMark/>
          </w:tcPr>
          <w:p w14:paraId="7F2B2A33" w14:textId="77777777" w:rsidR="00FC5C6F" w:rsidRPr="00E163B4" w:rsidRDefault="00FC5C6F" w:rsidP="00734471">
            <w:pPr>
              <w:spacing w:before="100" w:beforeAutospacing="1" w:after="100" w:afterAutospacing="1"/>
              <w:jc w:val="both"/>
              <w:rPr>
                <w:rFonts w:ascii="GHEA Grapalat" w:hAnsi="GHEA Grapalat"/>
              </w:rPr>
            </w:pPr>
            <w:r w:rsidRPr="00E163B4">
              <w:rPr>
                <w:rFonts w:ascii="Calibri" w:hAnsi="Calibri" w:cs="Calibri"/>
              </w:rPr>
              <w:t> </w:t>
            </w:r>
          </w:p>
        </w:tc>
        <w:tc>
          <w:tcPr>
            <w:tcW w:w="4500" w:type="dxa"/>
            <w:vAlign w:val="bottom"/>
            <w:hideMark/>
          </w:tcPr>
          <w:p w14:paraId="35FEE6E1" w14:textId="77777777" w:rsidR="00FC5C6F" w:rsidRPr="00FF4532" w:rsidRDefault="00FC5C6F" w:rsidP="00734471">
            <w:pPr>
              <w:jc w:val="right"/>
              <w:rPr>
                <w:rFonts w:ascii="GHEA Grapalat" w:hAnsi="GHEA Grapalat"/>
                <w:lang w:val="hy-AM"/>
              </w:rPr>
            </w:pPr>
            <w:r>
              <w:rPr>
                <w:rFonts w:ascii="GHEA Grapalat" w:hAnsi="GHEA Grapalat"/>
                <w:lang w:val="hy-AM"/>
              </w:rPr>
              <w:t>Հավելված</w:t>
            </w:r>
          </w:p>
          <w:p w14:paraId="0EEC256D" w14:textId="77777777" w:rsidR="00FC5C6F" w:rsidRPr="00E163B4" w:rsidRDefault="00FC5C6F" w:rsidP="00734471">
            <w:pPr>
              <w:jc w:val="right"/>
              <w:rPr>
                <w:rFonts w:ascii="GHEA Grapalat" w:hAnsi="GHEA Grapalat"/>
              </w:rPr>
            </w:pPr>
            <w:r>
              <w:rPr>
                <w:rFonts w:ascii="GHEA Grapalat" w:hAnsi="GHEA Grapalat"/>
                <w:b/>
                <w:bCs/>
                <w:lang w:val="hy-AM"/>
              </w:rPr>
              <w:t xml:space="preserve"> ՀՀ Է</w:t>
            </w:r>
            <w:r w:rsidRPr="00E163B4">
              <w:rPr>
                <w:rFonts w:ascii="GHEA Grapalat" w:hAnsi="GHEA Grapalat"/>
                <w:b/>
                <w:bCs/>
                <w:lang w:val="hy-AM"/>
              </w:rPr>
              <w:t xml:space="preserve">կոնոմիկայի </w:t>
            </w:r>
            <w:r w:rsidRPr="00E163B4">
              <w:rPr>
                <w:rFonts w:ascii="GHEA Grapalat" w:hAnsi="GHEA Grapalat"/>
                <w:b/>
                <w:bCs/>
              </w:rPr>
              <w:t>նախարարի</w:t>
            </w:r>
          </w:p>
          <w:p w14:paraId="1464785A" w14:textId="41EF7EFE" w:rsidR="00FC5C6F" w:rsidRPr="00E163B4" w:rsidRDefault="00FC5C6F" w:rsidP="00734471">
            <w:pPr>
              <w:jc w:val="right"/>
              <w:rPr>
                <w:rFonts w:ascii="GHEA Grapalat" w:hAnsi="GHEA Grapalat"/>
              </w:rPr>
            </w:pPr>
            <w:r w:rsidRPr="00E163B4">
              <w:rPr>
                <w:rFonts w:ascii="GHEA Grapalat" w:hAnsi="GHEA Grapalat"/>
                <w:b/>
                <w:bCs/>
              </w:rPr>
              <w:t>202</w:t>
            </w:r>
            <w:r w:rsidR="005C1ABE">
              <w:rPr>
                <w:rFonts w:ascii="GHEA Grapalat" w:hAnsi="GHEA Grapalat"/>
                <w:b/>
                <w:bCs/>
                <w:lang w:val="hy-AM"/>
              </w:rPr>
              <w:t>6</w:t>
            </w:r>
            <w:r w:rsidRPr="00E163B4">
              <w:rPr>
                <w:rFonts w:ascii="GHEA Grapalat" w:hAnsi="GHEA Grapalat"/>
                <w:b/>
                <w:bCs/>
              </w:rPr>
              <w:t xml:space="preserve"> թվականի «</w:t>
            </w:r>
            <w:r>
              <w:rPr>
                <w:rFonts w:ascii="GHEA Grapalat" w:hAnsi="GHEA Grapalat"/>
                <w:b/>
                <w:bCs/>
                <w:lang w:val="hy-AM"/>
              </w:rPr>
              <w:t xml:space="preserve">               </w:t>
            </w:r>
            <w:r w:rsidRPr="00E163B4">
              <w:rPr>
                <w:rFonts w:ascii="GHEA Grapalat" w:hAnsi="GHEA Grapalat"/>
                <w:b/>
                <w:bCs/>
              </w:rPr>
              <w:t>» «</w:t>
            </w:r>
            <w:r w:rsidRPr="00E163B4">
              <w:rPr>
                <w:rFonts w:ascii="GHEA Grapalat" w:hAnsi="GHEA Grapalat"/>
                <w:b/>
                <w:bCs/>
                <w:lang w:val="hy-AM"/>
              </w:rPr>
              <w:t xml:space="preserve">     </w:t>
            </w:r>
            <w:r w:rsidRPr="00E163B4">
              <w:rPr>
                <w:rFonts w:ascii="GHEA Grapalat" w:hAnsi="GHEA Grapalat"/>
                <w:b/>
                <w:bCs/>
              </w:rPr>
              <w:t>»-ի</w:t>
            </w:r>
          </w:p>
          <w:p w14:paraId="6D69DF8C" w14:textId="7F965C26" w:rsidR="00FC5C6F" w:rsidRPr="00E163B4" w:rsidRDefault="00FC5C6F" w:rsidP="00734471">
            <w:pPr>
              <w:jc w:val="right"/>
              <w:rPr>
                <w:rFonts w:ascii="GHEA Grapalat" w:hAnsi="GHEA Grapalat"/>
              </w:rPr>
            </w:pPr>
            <w:r w:rsidRPr="00E163B4">
              <w:rPr>
                <w:rFonts w:ascii="GHEA Grapalat" w:hAnsi="GHEA Grapalat"/>
                <w:b/>
                <w:bCs/>
              </w:rPr>
              <w:t>N</w:t>
            </w:r>
            <w:r w:rsidRPr="00E163B4">
              <w:rPr>
                <w:rFonts w:ascii="GHEA Grapalat" w:hAnsi="GHEA Grapalat"/>
                <w:b/>
                <w:bCs/>
                <w:lang w:val="hy-AM"/>
              </w:rPr>
              <w:t xml:space="preserve">           </w:t>
            </w:r>
            <w:r w:rsidRPr="00E163B4">
              <w:rPr>
                <w:rFonts w:ascii="GHEA Grapalat" w:hAnsi="GHEA Grapalat"/>
                <w:b/>
                <w:bCs/>
              </w:rPr>
              <w:t>-</w:t>
            </w:r>
            <w:r w:rsidR="00332268">
              <w:rPr>
                <w:rFonts w:ascii="GHEA Grapalat" w:hAnsi="GHEA Grapalat"/>
                <w:b/>
                <w:bCs/>
                <w:lang w:val="hy-AM"/>
              </w:rPr>
              <w:t>Ն</w:t>
            </w:r>
            <w:r w:rsidRPr="00E163B4">
              <w:rPr>
                <w:rFonts w:ascii="GHEA Grapalat" w:hAnsi="GHEA Grapalat"/>
                <w:b/>
                <w:bCs/>
              </w:rPr>
              <w:t xml:space="preserve"> հրամանի</w:t>
            </w:r>
          </w:p>
        </w:tc>
      </w:tr>
    </w:tbl>
    <w:p w14:paraId="71504174" w14:textId="77777777" w:rsidR="00FC5C6F" w:rsidRPr="00E163B4" w:rsidRDefault="00FC5C6F" w:rsidP="00FC5C6F">
      <w:pPr>
        <w:jc w:val="both"/>
        <w:rPr>
          <w:rFonts w:ascii="GHEA Grapalat" w:hAnsi="GHEA Grapalat"/>
        </w:rPr>
      </w:pPr>
      <w:r w:rsidRPr="00E163B4">
        <w:rPr>
          <w:rFonts w:ascii="Calibri" w:hAnsi="Calibri" w:cs="Calibri"/>
        </w:rPr>
        <w:t> </w:t>
      </w:r>
    </w:p>
    <w:p w14:paraId="2EEC0377" w14:textId="77777777" w:rsidR="00FC5C6F" w:rsidRPr="00327683" w:rsidRDefault="00FC5C6F" w:rsidP="00FC5C6F">
      <w:pPr>
        <w:jc w:val="center"/>
        <w:rPr>
          <w:rFonts w:ascii="GHEA Grapalat" w:hAnsi="GHEA Grapalat"/>
          <w:b/>
          <w:bCs/>
          <w:lang w:val="hy-AM"/>
        </w:rPr>
      </w:pPr>
      <w:r w:rsidRPr="00327683">
        <w:rPr>
          <w:rFonts w:ascii="GHEA Grapalat" w:hAnsi="GHEA Grapalat"/>
          <w:b/>
          <w:bCs/>
          <w:lang w:val="hy-AM"/>
        </w:rPr>
        <w:t>ԿԱՐԳ</w:t>
      </w:r>
    </w:p>
    <w:p w14:paraId="2F4DBDAE" w14:textId="77777777" w:rsidR="00FC5C6F" w:rsidRPr="00327683" w:rsidRDefault="00FC5C6F" w:rsidP="00FC5C6F">
      <w:pPr>
        <w:jc w:val="both"/>
        <w:rPr>
          <w:rFonts w:ascii="GHEA Grapalat" w:hAnsi="GHEA Grapalat"/>
          <w:lang w:val="hy-AM"/>
        </w:rPr>
      </w:pPr>
      <w:r w:rsidRPr="00327683">
        <w:rPr>
          <w:rFonts w:ascii="Calibri" w:hAnsi="Calibri" w:cs="Calibri"/>
          <w:lang w:val="hy-AM"/>
        </w:rPr>
        <w:t> </w:t>
      </w:r>
    </w:p>
    <w:p w14:paraId="547280B2" w14:textId="77777777" w:rsidR="00FC5C6F" w:rsidRPr="00327683" w:rsidRDefault="00FC5C6F" w:rsidP="00FC5C6F">
      <w:pPr>
        <w:ind w:left="720" w:right="960"/>
        <w:jc w:val="center"/>
        <w:rPr>
          <w:rFonts w:ascii="GHEA Grapalat" w:hAnsi="GHEA Grapalat"/>
          <w:lang w:val="hy-AM"/>
        </w:rPr>
      </w:pPr>
      <w:r w:rsidRPr="00327683">
        <w:rPr>
          <w:rFonts w:ascii="GHEA Grapalat" w:hAnsi="GHEA Grapalat"/>
          <w:b/>
          <w:bCs/>
          <w:lang w:val="hy-AM"/>
        </w:rPr>
        <w:t>ԻՆՏԵՐՆԵՏ ՇԱՀՈՒՄՈՎ ԽԱՂԻ ԿԱԶՄԱԿԵՐՊՉԻ ԿՈՂՄԻՑ ՀԱՏՈՒԿ ԽԱՂԱՅԻՆ ՀԱՇԻՎԸ ՀԱՄԱԼՐԵԼՈՒ ՀԱՄԱՐ ՕԳՏԱԳՈՐԾՎՈՂ ԲԱՆԿԱՅԻՆ ՀԱՇԻՎԸ ԿԱՄ ՔԱՐՏԸ ՏՎՅԱԼ՝ ՀԱՏՈՒԿ ԽԱՂԱՅԻՆ ՀԱՇՎԻ ԻՐԱՎԱՏԵՐ ԽԱՂԱՑՈՂԻՆ ՊԱՏԿԱՆԵԼՈՒ</w:t>
      </w:r>
      <w:r w:rsidRPr="00327683">
        <w:rPr>
          <w:rFonts w:ascii="Calibri" w:hAnsi="Calibri" w:cs="Calibri"/>
          <w:b/>
          <w:bCs/>
          <w:lang w:val="hy-AM"/>
        </w:rPr>
        <w:t> </w:t>
      </w:r>
      <w:r w:rsidRPr="00327683">
        <w:rPr>
          <w:rFonts w:ascii="GHEA Grapalat" w:hAnsi="GHEA Grapalat" w:cs="GHEA Grapalat"/>
          <w:b/>
          <w:bCs/>
          <w:lang w:val="hy-AM"/>
        </w:rPr>
        <w:t>ՀԱՆԳԱՄԱՆՔԻ</w:t>
      </w:r>
      <w:r w:rsidRPr="00327683">
        <w:rPr>
          <w:rFonts w:ascii="GHEA Grapalat" w:hAnsi="GHEA Grapalat"/>
          <w:b/>
          <w:bCs/>
          <w:lang w:val="hy-AM"/>
        </w:rPr>
        <w:t xml:space="preserve"> </w:t>
      </w:r>
      <w:r w:rsidRPr="00327683">
        <w:rPr>
          <w:rFonts w:ascii="GHEA Grapalat" w:hAnsi="GHEA Grapalat" w:cs="GHEA Grapalat"/>
          <w:b/>
          <w:bCs/>
          <w:lang w:val="hy-AM"/>
        </w:rPr>
        <w:t>ՍՏՈՒԳՄԱՆ</w:t>
      </w:r>
    </w:p>
    <w:p w14:paraId="47C00741" w14:textId="77777777" w:rsidR="00FC5C6F" w:rsidRPr="00327683" w:rsidRDefault="00FC5C6F" w:rsidP="00FC5C6F">
      <w:pPr>
        <w:jc w:val="both"/>
        <w:rPr>
          <w:rFonts w:ascii="GHEA Grapalat" w:hAnsi="GHEA Grapalat"/>
          <w:lang w:val="hy-AM"/>
        </w:rPr>
      </w:pPr>
      <w:r w:rsidRPr="00327683">
        <w:rPr>
          <w:rFonts w:ascii="Calibri" w:hAnsi="Calibri" w:cs="Calibri"/>
          <w:lang w:val="hy-AM"/>
        </w:rPr>
        <w:t> </w:t>
      </w:r>
    </w:p>
    <w:p w14:paraId="2CE3133E"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1. Սույն կարգը կարգավորում է ինտերնետ շահումով խաղի կազմակերպիչների (այսուհետ՝ Կազմակերպիչ) կողմից ինտերնետ շահումով խաղի Հայաստանի Հանրապետության քաղաքացի հանդիսացող մասնակցի կողմից խաղացողին պատկանող հատուկ խաղային հաշվի և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 հանգամանքի ստուգման հետ կապված հարաբերությունները:</w:t>
      </w:r>
    </w:p>
    <w:p w14:paraId="1E660811"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2. Սույն կարգը տարածվում է նաև Հայաստանի Հանրապետության քաղաքացի չհանդիսացող այն օտարերկրացի մասնակիցների վրա, ովքեր իրենց պատկանող հատուկ խաղային հաշիվը համալրելու, անմիջականորեն (խաղասրահի միջոցով) խաղադրույքներ կատարելու կամ 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w:t>
      </w:r>
    </w:p>
    <w:p w14:paraId="6AA242C1" w14:textId="0273BEB0" w:rsidR="00CB0121" w:rsidRPr="00CB0121" w:rsidRDefault="00FC5C6F"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327683">
        <w:rPr>
          <w:rFonts w:ascii="GHEA Grapalat" w:hAnsi="GHEA Grapalat"/>
          <w:lang w:val="hy-AM"/>
        </w:rPr>
        <w:t xml:space="preserve">3. </w:t>
      </w:r>
      <w:r w:rsidR="00CB0121" w:rsidRPr="00CB0121">
        <w:rPr>
          <w:rFonts w:ascii="Calibri" w:hAnsi="Calibri" w:cs="Calibri"/>
          <w:color w:val="333333"/>
          <w:lang w:val="hy-AM"/>
        </w:rPr>
        <w:t> </w:t>
      </w:r>
      <w:r w:rsidR="00CB0121" w:rsidRPr="00CB0121">
        <w:rPr>
          <w:rFonts w:ascii="GHEA Grapalat" w:hAnsi="GHEA Grapalat" w:cs="GHEA Grapalat"/>
          <w:color w:val="333333"/>
          <w:lang w:val="hy-AM"/>
        </w:rPr>
        <w:t>Հատուկ</w:t>
      </w:r>
      <w:r w:rsidR="00CB0121" w:rsidRPr="00CB0121">
        <w:rPr>
          <w:rFonts w:ascii="GHEA Grapalat" w:hAnsi="GHEA Grapalat" w:cs="Arial"/>
          <w:color w:val="333333"/>
          <w:lang w:val="hy-AM"/>
        </w:rPr>
        <w:t xml:space="preserve"> </w:t>
      </w:r>
      <w:r w:rsidR="00CB0121" w:rsidRPr="00CB0121">
        <w:rPr>
          <w:rFonts w:ascii="GHEA Grapalat" w:hAnsi="GHEA Grapalat" w:cs="GHEA Grapalat"/>
          <w:color w:val="333333"/>
          <w:lang w:val="hy-AM"/>
        </w:rPr>
        <w:t>խա</w:t>
      </w:r>
      <w:r w:rsidR="00CB0121" w:rsidRPr="00CB0121">
        <w:rPr>
          <w:rFonts w:ascii="GHEA Grapalat" w:hAnsi="GHEA Grapalat" w:cs="Arial"/>
          <w:color w:val="333333"/>
          <w:lang w:val="hy-AM"/>
        </w:rPr>
        <w:t xml:space="preserve">ղային հաշիվը համալրելու համար օգտագործվող բանկային հաշիվը կամ քարտը տվյալ խաղային հաշվի իրավատեր խաղացողին պատկանելու ստուգումը Կազմակերպիչը իրականացնում է իր հետ պայմանագիր կնքած՝ Հայաստանի Հանրապետությունում վճարահաշվարկային ծառայություններ մատուցելու </w:t>
      </w:r>
      <w:r w:rsidR="00CB0121" w:rsidRPr="00CB0121">
        <w:rPr>
          <w:rFonts w:ascii="GHEA Grapalat" w:hAnsi="GHEA Grapalat" w:cs="Arial"/>
          <w:color w:val="333333"/>
          <w:lang w:val="hy-AM"/>
        </w:rPr>
        <w:lastRenderedPageBreak/>
        <w:t>իրավասություններ ունեցող կազմակերպության</w:t>
      </w:r>
      <w:r w:rsidR="00CB0121" w:rsidRPr="004D6C3B">
        <w:rPr>
          <w:rFonts w:ascii="GHEA Grapalat" w:hAnsi="GHEA Grapalat" w:cs="Arial"/>
          <w:color w:val="333333"/>
          <w:lang w:val="hy-AM"/>
        </w:rPr>
        <w:t xml:space="preserve"> </w:t>
      </w:r>
      <w:r w:rsidR="00CB0121" w:rsidRPr="004D6C3B">
        <w:rPr>
          <w:rFonts w:ascii="GHEA Grapalat" w:hAnsi="GHEA Grapalat"/>
          <w:lang w:val="hy-AM"/>
        </w:rPr>
        <w:t>(այսուհետ՝ վճարահաշվարկային կազմակերպություն)</w:t>
      </w:r>
      <w:r w:rsidR="00CB0121" w:rsidRPr="00CB0121">
        <w:rPr>
          <w:rFonts w:ascii="GHEA Grapalat" w:hAnsi="GHEA Grapalat" w:cs="Arial"/>
          <w:color w:val="333333"/>
          <w:lang w:val="hy-AM"/>
        </w:rPr>
        <w:t xml:space="preserve"> միջոցով՝ հատուկ խաղային հաշվի համալրման ծառայությունների մատուցման պայմանագրի շրջանակներում։ Ստուգման գործընթացը պետք է իրականացվի բացառապես խաղացողի համաձայնության առկայության դեպքում։ Ընդ որում.</w:t>
      </w:r>
    </w:p>
    <w:p w14:paraId="2D0A327D" w14:textId="77777777" w:rsidR="00CB0121" w:rsidRPr="00CB0121" w:rsidRDefault="00FC5C6F"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327683">
        <w:rPr>
          <w:rFonts w:ascii="GHEA Grapalat" w:hAnsi="GHEA Grapalat"/>
          <w:lang w:val="hy-AM"/>
        </w:rPr>
        <w:t>1)</w:t>
      </w:r>
      <w:r w:rsidRPr="00FF4532">
        <w:rPr>
          <w:rFonts w:ascii="GHEA Grapalat" w:hAnsi="GHEA Grapalat"/>
          <w:lang w:val="hy-AM"/>
        </w:rPr>
        <w:t xml:space="preserve"> </w:t>
      </w:r>
      <w:r w:rsidRPr="00327683">
        <w:rPr>
          <w:rFonts w:ascii="GHEA Grapalat" w:hAnsi="GHEA Grapalat"/>
          <w:lang w:val="hy-AM"/>
        </w:rPr>
        <w:t xml:space="preserve">Խաղացողների բանկային հաշվի պատկանելիության հանգամանքի ստուգման իրականացումն ապահովելու համար Կազմակերպիչը պետք է Հայաստանի Հանրապետությունում վճարահաշվարկային ծառայություններ մատուցելու իրավասություններ ունեցող կազմակերպությանը տրամադրի խաղացողի </w:t>
      </w:r>
      <w:r w:rsidR="002460CD" w:rsidRPr="002460CD">
        <w:rPr>
          <w:rFonts w:ascii="GHEA Grapalat" w:hAnsi="GHEA Grapalat"/>
          <w:lang w:val="hy-AM"/>
        </w:rPr>
        <w:t xml:space="preserve">հանրային ծառայությունների համարանիշը </w:t>
      </w:r>
      <w:r w:rsidR="002460CD" w:rsidRPr="002460CD">
        <w:rPr>
          <w:rFonts w:ascii="Calibri" w:hAnsi="Calibri" w:cs="Calibri"/>
          <w:lang w:val="hy-AM"/>
        </w:rPr>
        <w:t> </w:t>
      </w:r>
      <w:r w:rsidR="00CB0121" w:rsidRPr="004D6C3B">
        <w:rPr>
          <w:rFonts w:ascii="GHEA Grapalat" w:hAnsi="GHEA Grapalat" w:cs="Arial"/>
          <w:color w:val="333333"/>
          <w:lang w:val="hy-AM"/>
        </w:rPr>
        <w:t>համարանիշը (այսուհետ՝ ՀԾՀ)</w:t>
      </w:r>
      <w:r w:rsidR="00CB0121" w:rsidRPr="00CB0121">
        <w:rPr>
          <w:rFonts w:ascii="GHEA Grapalat" w:hAnsi="GHEA Grapalat" w:cs="Arial"/>
          <w:color w:val="333333"/>
          <w:lang w:val="hy-AM"/>
        </w:rPr>
        <w:t xml:space="preserve"> կամ ՀԾՀ չստանալու մասին տեղեկանքի կամ նույնականացման քարտի կամ անձնագրի համարը (</w:t>
      </w:r>
      <w:r w:rsidR="00CB0121" w:rsidRPr="004D6C3B">
        <w:rPr>
          <w:rFonts w:ascii="GHEA Grapalat" w:hAnsi="GHEA Grapalat" w:cs="Arial"/>
          <w:color w:val="333333"/>
          <w:lang w:val="hy-AM"/>
        </w:rPr>
        <w:t>օտարերկրացիների դեպքում՝ օտարերկրյա անձնագրի նույնականացման համարը</w:t>
      </w:r>
      <w:r w:rsidR="00CB0121" w:rsidRPr="00CB0121">
        <w:rPr>
          <w:rFonts w:ascii="GHEA Grapalat" w:hAnsi="GHEA Grapalat" w:cs="Arial"/>
          <w:color w:val="333333"/>
          <w:lang w:val="hy-AM"/>
        </w:rPr>
        <w:t>), որից հետո վճարահաշվարկային կազմակերպությունը պետք է հաստատի կամ մերժի, որ Կազմակերպչի կողմից տրամադրված տվյալները համընկնում են իրենց համակարգում առկա տվյալների հետ, և հետևաբար խաղացողը և բանկային հաշվի</w:t>
      </w:r>
      <w:r w:rsidR="00CB0121" w:rsidRPr="004D6C3B">
        <w:rPr>
          <w:rFonts w:ascii="GHEA Grapalat" w:hAnsi="GHEA Grapalat" w:cs="Arial"/>
          <w:color w:val="333333"/>
          <w:lang w:val="hy-AM"/>
        </w:rPr>
        <w:t xml:space="preserve"> կամ քարտի</w:t>
      </w:r>
      <w:r w:rsidR="00CB0121" w:rsidRPr="00CB0121">
        <w:rPr>
          <w:rFonts w:ascii="GHEA Grapalat" w:hAnsi="GHEA Grapalat" w:cs="Arial"/>
          <w:color w:val="333333"/>
          <w:lang w:val="hy-AM"/>
        </w:rPr>
        <w:t xml:space="preserve"> իրավատերը նույն անձն են, ընդ որում Կազմակերպչի կողմից տրամադրված վերը նշված տվյալներից ցանկացածի համընկման դեպքում համարվում է, որ խաղացողը և բանկային հաշվի </w:t>
      </w:r>
      <w:r w:rsidR="00CB0121" w:rsidRPr="004D6C3B">
        <w:rPr>
          <w:rFonts w:ascii="GHEA Grapalat" w:hAnsi="GHEA Grapalat" w:cs="Arial"/>
          <w:color w:val="333333"/>
          <w:lang w:val="hy-AM"/>
        </w:rPr>
        <w:t xml:space="preserve">կամ քարտի </w:t>
      </w:r>
      <w:r w:rsidR="00CB0121" w:rsidRPr="00CB0121">
        <w:rPr>
          <w:rFonts w:ascii="GHEA Grapalat" w:hAnsi="GHEA Grapalat" w:cs="Arial"/>
          <w:color w:val="333333"/>
          <w:lang w:val="hy-AM"/>
        </w:rPr>
        <w:t>իրավատերը նույն անձն են:</w:t>
      </w:r>
    </w:p>
    <w:p w14:paraId="4F95537F"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2) Հայաստանի Հանրապետությունում վճարահաշվարկային ծառայություններ մատուցելու իրավասություններ ունեցող կազմակերպությունն հատուկ խաղային հաշվի համալրման ծառայությունների մատուցման շրջանակներում ապահովում է Կազմակերպչին համապատասխան տվյալների աղբյուրին հասանելիությունը՝ Կազմակերպչի կողմից խաղացողների բանկային քարտերի պատկանելիության հանգամանքի ստուգման իրականացումն ապահովելու համար, իսկ խաղացողների բանկային հաշիվների պատկանելիության հանգամանքը կստուգվի Կազմակերպչի հետ պայմանագրային հարաբերության մեջ գտնվող բանկի կամ վճարահաշվարկային ծառայություններ մատուցող կազմակերպության միջոցով։</w:t>
      </w:r>
    </w:p>
    <w:p w14:paraId="3AEBCA55" w14:textId="77777777" w:rsidR="00CB0121" w:rsidRPr="00CB0121"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 xml:space="preserve">2) </w:t>
      </w:r>
      <w:r w:rsidRPr="004D6C3B">
        <w:rPr>
          <w:rFonts w:ascii="GHEA Grapalat" w:hAnsi="GHEA Grapalat" w:cs="Arial"/>
          <w:color w:val="333333"/>
          <w:lang w:val="hy-AM"/>
        </w:rPr>
        <w:t>Վ</w:t>
      </w:r>
      <w:r w:rsidRPr="00CB0121">
        <w:rPr>
          <w:rFonts w:ascii="GHEA Grapalat" w:hAnsi="GHEA Grapalat" w:cs="Arial"/>
          <w:color w:val="333333"/>
          <w:lang w:val="hy-AM"/>
        </w:rPr>
        <w:t>ճարահաշվարկային կազմակերպություն</w:t>
      </w:r>
      <w:r w:rsidRPr="004D6C3B">
        <w:rPr>
          <w:rFonts w:ascii="GHEA Grapalat" w:hAnsi="GHEA Grapalat" w:cs="Arial"/>
          <w:color w:val="333333"/>
          <w:lang w:val="hy-AM"/>
        </w:rPr>
        <w:t>ը</w:t>
      </w:r>
      <w:r w:rsidRPr="00CB0121">
        <w:rPr>
          <w:rFonts w:ascii="GHEA Grapalat" w:hAnsi="GHEA Grapalat" w:cs="Arial"/>
          <w:color w:val="333333"/>
          <w:lang w:val="hy-AM"/>
        </w:rPr>
        <w:t xml:space="preserve"> հատուկ խաղային հաշվի համալրման ծառայությունների մատուցման շրջանակներում ապահովում է Կազմակերպչին համապատասխան տվյալների աղբյուրին հասանելիությունը՝ Կազմակերպչի կողմից խաղացողների բանկային</w:t>
      </w:r>
      <w:r w:rsidRPr="004D6C3B">
        <w:rPr>
          <w:rFonts w:ascii="GHEA Grapalat" w:hAnsi="GHEA Grapalat" w:cs="Arial"/>
          <w:color w:val="333333"/>
          <w:lang w:val="hy-AM"/>
        </w:rPr>
        <w:t xml:space="preserve"> հաշիվների կամ</w:t>
      </w:r>
      <w:r w:rsidRPr="00CB0121">
        <w:rPr>
          <w:rFonts w:ascii="GHEA Grapalat" w:hAnsi="GHEA Grapalat" w:cs="Arial"/>
          <w:color w:val="333333"/>
          <w:lang w:val="hy-AM"/>
        </w:rPr>
        <w:t xml:space="preserve"> քարտերի պատկանելիության հանգամանքի </w:t>
      </w:r>
      <w:r w:rsidRPr="00CB0121">
        <w:rPr>
          <w:rFonts w:ascii="GHEA Grapalat" w:hAnsi="GHEA Grapalat" w:cs="Arial"/>
          <w:color w:val="333333"/>
          <w:lang w:val="hy-AM"/>
        </w:rPr>
        <w:lastRenderedPageBreak/>
        <w:t>ստուգման իրականացումն ապահովելու համար, իսկ խաղացողների բանկային հաշիվների պատկանելիության հանգամանքը կստուգվի Կազմակերպչի հետ պայմանագրային հարաբերության մեջ գտնվող բանկի</w:t>
      </w:r>
      <w:r w:rsidRPr="004D6C3B">
        <w:rPr>
          <w:rFonts w:ascii="GHEA Grapalat" w:hAnsi="GHEA Grapalat" w:cs="Arial"/>
          <w:color w:val="333333"/>
          <w:lang w:val="hy-AM"/>
        </w:rPr>
        <w:t xml:space="preserve"> </w:t>
      </w:r>
      <w:r w:rsidRPr="00CB0121">
        <w:rPr>
          <w:rFonts w:ascii="GHEA Grapalat" w:hAnsi="GHEA Grapalat" w:cs="Arial"/>
          <w:color w:val="333333"/>
          <w:lang w:val="hy-AM"/>
        </w:rPr>
        <w:t>կամ վճարահաշվարկային կազմակերպության միջոցով։</w:t>
      </w:r>
    </w:p>
    <w:p w14:paraId="02BDEEC2" w14:textId="77777777" w:rsidR="00CB0121" w:rsidRPr="00CB0121"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3) քարտերի պատկանելիության հանգամանքի ստուգման իրականացումն ապահովելու համար Կազմակերպիչը վճարահաշվարկային կազմակերպության</w:t>
      </w:r>
      <w:r w:rsidRPr="004D6C3B">
        <w:rPr>
          <w:rFonts w:ascii="GHEA Grapalat" w:hAnsi="GHEA Grapalat" w:cs="Arial"/>
          <w:color w:val="333333"/>
          <w:lang w:val="hy-AM"/>
        </w:rPr>
        <w:t>ը</w:t>
      </w:r>
      <w:r w:rsidRPr="00CB0121">
        <w:rPr>
          <w:rFonts w:ascii="GHEA Grapalat" w:hAnsi="GHEA Grapalat" w:cs="Arial"/>
          <w:color w:val="333333"/>
          <w:lang w:val="hy-AM"/>
        </w:rPr>
        <w:t xml:space="preserve"> պետք է տրամադրի խաղացողի ՀԾՀ–ն կամ ՀԾՀ չստանալու մասին տեղեկանքի կամ նույնականացման քարտի կամ անձնագրի համարը, Կազմակերպչի նույնականացման համարը (Merchant ID) և գործարքի նույնականացուցիչը (MDorder)՝ համապատասխան տեխնիկական կապուղու միջոցով:</w:t>
      </w:r>
    </w:p>
    <w:p w14:paraId="4B7D2DB7" w14:textId="77777777" w:rsidR="00CB0121" w:rsidRPr="00CB0121"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4) Կազմակերպչին սպասարկող վճարահաշվարկային կազմակերպության կողմից Կազմակերպչին պատասխան հաղորդագրությունն ուղղվում է Կազմակերպչի հարցումը ստանալուց անմիջապես հետո:</w:t>
      </w:r>
    </w:p>
    <w:p w14:paraId="1C4FA9E4" w14:textId="77777777" w:rsidR="00CB0121" w:rsidRPr="00CB0121"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5) Պատասխան հաղորդագրությամբ.</w:t>
      </w:r>
    </w:p>
    <w:p w14:paraId="3735433B" w14:textId="77777777" w:rsidR="00CB0121" w:rsidRPr="00CB0121"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 xml:space="preserve">ա. հաստատում է, որ Կազմակերպչի կողմից տրամադրված տվյալները կամ դրանցից որևէ մեկը համընկնում են համապատասխան տվյալների աղբյուրում առկա տվյալների հետ, և հետևաբար խաղացողը և </w:t>
      </w:r>
      <w:r w:rsidRPr="004D6C3B">
        <w:rPr>
          <w:rFonts w:ascii="GHEA Grapalat" w:hAnsi="GHEA Grapalat" w:cs="Arial"/>
          <w:color w:val="333333"/>
          <w:lang w:val="hy-AM"/>
        </w:rPr>
        <w:t>բանկային հաշվի կամ բանկային քարտի իրավատաերը</w:t>
      </w:r>
      <w:r w:rsidRPr="00CB0121">
        <w:rPr>
          <w:rFonts w:ascii="GHEA Grapalat" w:hAnsi="GHEA Grapalat" w:cs="Arial"/>
          <w:color w:val="333333"/>
          <w:lang w:val="hy-AM"/>
        </w:rPr>
        <w:t xml:space="preserve"> նույն անձն են.</w:t>
      </w:r>
    </w:p>
    <w:p w14:paraId="1160F924" w14:textId="77777777" w:rsidR="00CB0121" w:rsidRPr="00CB0121"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 xml:space="preserve">բ. կամ մերժում է, երբ Կազմակերպչի կողմից տրամադրված տվյալներից ոչ մեկը չի համընկնում համապատասխան տվյալների աղբյուրում առկա տվյալների հետ, և հետևաբար խաղացողը և </w:t>
      </w:r>
      <w:r w:rsidRPr="004D6C3B">
        <w:rPr>
          <w:rFonts w:ascii="GHEA Grapalat" w:hAnsi="GHEA Grapalat" w:cs="Arial"/>
          <w:color w:val="333333"/>
          <w:lang w:val="hy-AM"/>
        </w:rPr>
        <w:t>բանկային հաշվի կամ բանկային քարտի իրավատաերը</w:t>
      </w:r>
      <w:r w:rsidRPr="00CB0121">
        <w:rPr>
          <w:rFonts w:ascii="GHEA Grapalat" w:hAnsi="GHEA Grapalat" w:cs="Arial"/>
          <w:color w:val="333333"/>
          <w:lang w:val="hy-AM"/>
        </w:rPr>
        <w:t>նույն անձը չեն։.</w:t>
      </w:r>
    </w:p>
    <w:p w14:paraId="5042913A" w14:textId="77777777" w:rsidR="00CB0121" w:rsidRPr="004D6C3B" w:rsidRDefault="00CB0121" w:rsidP="00CB0121">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CB0121">
        <w:rPr>
          <w:rFonts w:ascii="GHEA Grapalat" w:hAnsi="GHEA Grapalat" w:cs="Arial"/>
          <w:color w:val="333333"/>
          <w:lang w:val="hy-AM"/>
        </w:rPr>
        <w:t>6) Սույն կարգով սահմանված դեպքում Հայաստանի Հանրապետության քաղաքացի չհանդիսացող այն մասնակիցների (խաղացող</w:t>
      </w:r>
      <w:r w:rsidRPr="004D6C3B">
        <w:rPr>
          <w:rFonts w:ascii="GHEA Grapalat" w:hAnsi="GHEA Grapalat" w:cs="Arial"/>
          <w:color w:val="333333"/>
          <w:lang w:val="hy-AM"/>
        </w:rPr>
        <w:t>ների</w:t>
      </w:r>
      <w:r w:rsidRPr="00CB0121">
        <w:rPr>
          <w:rFonts w:ascii="GHEA Grapalat" w:hAnsi="GHEA Grapalat" w:cs="Arial"/>
          <w:color w:val="333333"/>
          <w:lang w:val="hy-AM"/>
        </w:rPr>
        <w:t>) դեպքում, ովքեր Հայաստանի Հանրապետությունում ունեն ՀԾՀ և իրենց պատկանող հատուկ խաղային հաշիվը համալրելու, անմիջականորեն (խաղասրահի միջոցով) խաղադրույքներ կատարելու կամ 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w:t>
      </w:r>
      <w:r w:rsidRPr="004D6C3B">
        <w:rPr>
          <w:rFonts w:ascii="GHEA Grapalat" w:hAnsi="GHEA Grapalat" w:cs="Arial"/>
          <w:color w:val="333333"/>
          <w:lang w:val="hy-AM"/>
        </w:rPr>
        <w:t>, իրենց պատկանող</w:t>
      </w:r>
      <w:r w:rsidRPr="00CB0121">
        <w:rPr>
          <w:rFonts w:ascii="GHEA Grapalat" w:hAnsi="GHEA Grapalat" w:cs="Arial"/>
          <w:color w:val="333333"/>
          <w:lang w:val="hy-AM"/>
        </w:rPr>
        <w:t xml:space="preserve"> բանկային </w:t>
      </w:r>
      <w:r w:rsidRPr="004D6C3B">
        <w:rPr>
          <w:rFonts w:ascii="GHEA Grapalat" w:hAnsi="GHEA Grapalat" w:cs="Arial"/>
          <w:color w:val="333333"/>
          <w:lang w:val="hy-AM"/>
        </w:rPr>
        <w:t xml:space="preserve">հաշիվների կամ քարտի </w:t>
      </w:r>
      <w:r w:rsidRPr="00CB0121">
        <w:rPr>
          <w:rFonts w:ascii="GHEA Grapalat" w:hAnsi="GHEA Grapalat" w:cs="Arial"/>
          <w:color w:val="333333"/>
          <w:lang w:val="hy-AM"/>
        </w:rPr>
        <w:t xml:space="preserve">պատկանելիության հանգամանքի ստուգման իրականացումն ապահովելու համար Կազմակերպիչը պետք է տրամադրի </w:t>
      </w:r>
      <w:r w:rsidRPr="00CB0121">
        <w:rPr>
          <w:rFonts w:ascii="GHEA Grapalat" w:hAnsi="GHEA Grapalat" w:cs="Arial"/>
          <w:color w:val="333333"/>
          <w:lang w:val="hy-AM"/>
        </w:rPr>
        <w:lastRenderedPageBreak/>
        <w:t xml:space="preserve">օտարերկրյա քաղաքացու անձը հաստատող փաստաթղթի </w:t>
      </w:r>
      <w:r w:rsidRPr="004D6C3B">
        <w:rPr>
          <w:rFonts w:ascii="GHEA Grapalat" w:hAnsi="GHEA Grapalat" w:cs="Arial"/>
          <w:color w:val="333333"/>
          <w:lang w:val="hy-AM"/>
        </w:rPr>
        <w:t xml:space="preserve">նույնականացման </w:t>
      </w:r>
      <w:r w:rsidRPr="00CB0121">
        <w:rPr>
          <w:rFonts w:ascii="GHEA Grapalat" w:hAnsi="GHEA Grapalat" w:cs="Arial"/>
          <w:color w:val="333333"/>
          <w:lang w:val="hy-AM"/>
        </w:rPr>
        <w:t>համարը կամ ՀԾՀ-ն։ Եթե Կազմակերպիչը Հայաստանի Հանրապետության քաղաքացի չհանդիսացող անձի վերաբերյալ ստացել է</w:t>
      </w:r>
      <w:r w:rsidRPr="004D6C3B">
        <w:rPr>
          <w:rFonts w:ascii="GHEA Grapalat" w:hAnsi="GHEA Grapalat" w:cs="Arial"/>
          <w:color w:val="333333"/>
          <w:lang w:val="hy-AM"/>
        </w:rPr>
        <w:t xml:space="preserve"> </w:t>
      </w:r>
      <w:r w:rsidRPr="00CB0121">
        <w:rPr>
          <w:rFonts w:ascii="GHEA Grapalat" w:hAnsi="GHEA Grapalat" w:cs="Arial"/>
          <w:color w:val="333333"/>
          <w:lang w:val="hy-AM"/>
        </w:rPr>
        <w:t xml:space="preserve">օտարերկրյա քաղաքացու անձը հաստատող փաստաթղթի </w:t>
      </w:r>
      <w:r w:rsidRPr="004D6C3B">
        <w:rPr>
          <w:rFonts w:ascii="GHEA Grapalat" w:hAnsi="GHEA Grapalat" w:cs="Arial"/>
          <w:color w:val="333333"/>
          <w:lang w:val="hy-AM"/>
        </w:rPr>
        <w:t xml:space="preserve">նույնականացման </w:t>
      </w:r>
      <w:r w:rsidRPr="00CB0121">
        <w:rPr>
          <w:rFonts w:ascii="GHEA Grapalat" w:hAnsi="GHEA Grapalat" w:cs="Arial"/>
          <w:color w:val="333333"/>
          <w:lang w:val="hy-AM"/>
        </w:rPr>
        <w:t>համար</w:t>
      </w:r>
      <w:r w:rsidRPr="004D6C3B">
        <w:rPr>
          <w:rFonts w:ascii="GHEA Grapalat" w:hAnsi="GHEA Grapalat" w:cs="Arial"/>
          <w:color w:val="333333"/>
          <w:lang w:val="hy-AM"/>
        </w:rPr>
        <w:t xml:space="preserve">ի և ՀԾՀ մասին տվյալների բացակայության մասին </w:t>
      </w:r>
      <w:r w:rsidRPr="00CB0121">
        <w:rPr>
          <w:rFonts w:ascii="GHEA Grapalat" w:hAnsi="GHEA Grapalat" w:cs="Arial"/>
          <w:color w:val="333333"/>
          <w:lang w:val="hy-AM"/>
        </w:rPr>
        <w:t xml:space="preserve">պատասխան հաղորդագրություն, ապա </w:t>
      </w:r>
      <w:r w:rsidRPr="004D6C3B">
        <w:rPr>
          <w:rFonts w:ascii="GHEA Grapalat" w:hAnsi="GHEA Grapalat" w:cs="Arial"/>
          <w:color w:val="333333"/>
          <w:lang w:val="hy-AM"/>
        </w:rPr>
        <w:t xml:space="preserve">իրավունք ունի չմերժել </w:t>
      </w:r>
      <w:r w:rsidRPr="00CB0121">
        <w:rPr>
          <w:rFonts w:ascii="GHEA Grapalat" w:hAnsi="GHEA Grapalat" w:cs="Arial"/>
          <w:color w:val="333333"/>
          <w:lang w:val="hy-AM"/>
        </w:rPr>
        <w:t>ծառայությունների մատուցումը:</w:t>
      </w:r>
      <w:r w:rsidRPr="004D6C3B">
        <w:rPr>
          <w:rFonts w:ascii="GHEA Grapalat" w:hAnsi="GHEA Grapalat" w:cs="Arial"/>
          <w:color w:val="333333"/>
          <w:lang w:val="hy-AM"/>
        </w:rPr>
        <w:t xml:space="preserve"> Ը</w:t>
      </w:r>
      <w:r w:rsidRPr="00CB0121">
        <w:rPr>
          <w:rFonts w:ascii="GHEA Grapalat" w:hAnsi="GHEA Grapalat" w:cs="Arial"/>
          <w:color w:val="333333"/>
          <w:lang w:val="hy-AM"/>
        </w:rPr>
        <w:t xml:space="preserve">նդ որում Կազմակերպչի կողմից տրամադրված վերը նշված տվյալներից ցանկացածի համընկման դեպքում համարվում է, որ խաղացողը և բանկային հաշվի </w:t>
      </w:r>
      <w:r w:rsidRPr="004D6C3B">
        <w:rPr>
          <w:rFonts w:ascii="GHEA Grapalat" w:hAnsi="GHEA Grapalat" w:cs="Arial"/>
          <w:color w:val="333333"/>
          <w:lang w:val="hy-AM"/>
        </w:rPr>
        <w:t xml:space="preserve">կամ քարտի </w:t>
      </w:r>
      <w:r w:rsidRPr="00CB0121">
        <w:rPr>
          <w:rFonts w:ascii="GHEA Grapalat" w:hAnsi="GHEA Grapalat" w:cs="Arial"/>
          <w:color w:val="333333"/>
          <w:lang w:val="hy-AM"/>
        </w:rPr>
        <w:t>իրավատերը նույն անձն են</w:t>
      </w:r>
    </w:p>
    <w:p w14:paraId="288E38A5"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4.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խաղային հաշվի իրավատեր խաղացողին պատկանելու նույնականացումը Կազմակերպիչն իրականացնում է բացառապես խաղացողի համաձայնության առկայության դեպքում։ Ընդ որում.</w:t>
      </w:r>
    </w:p>
    <w:p w14:paraId="731FDA3F"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1) Ստուգումն իրականացվում է Հայաստանի Հանրապետության քաղաքացի հանդիսացող խաղացողի ներկայությամբ՝ Հայաստանի Հանրապետության կառավարության 1999 թվականի դեկտեմբերի 22-ի N 767 որոշմամբ սահմանված անձը հաստատող փաստաթղթի և խաղացողի բանկային հաշիվը կամ քարտը սպասարկող բանկի կողմից տրված տեղեկանքի հիման վրա:</w:t>
      </w:r>
    </w:p>
    <w:p w14:paraId="28048798" w14:textId="410EFFB8"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 xml:space="preserve">2) Խաղացողի բանկային հաշիվը կամ քարտը սպասարկող բանկի կողմից տրված տեղեկանքում նշվում է խաղացողի անձը հաստատող փաստաթղթի և տվյալ անձին պատկանող բանկային հաշվի կամ քարտի տվյալները՝ քարտային համակարգի կանոններով սահմանված, անվտանգության պահանջներով թույլատրելի բովանդակությամբ և ձևաչափով, անձի </w:t>
      </w:r>
      <w:r w:rsidR="002460CD" w:rsidRPr="002460CD">
        <w:rPr>
          <w:rFonts w:ascii="GHEA Grapalat" w:hAnsi="GHEA Grapalat" w:cs="GHEA Grapalat"/>
          <w:lang w:val="hy-AM"/>
        </w:rPr>
        <w:t>ՀԾՀ</w:t>
      </w:r>
      <w:r w:rsidR="002460CD">
        <w:rPr>
          <w:rFonts w:ascii="GHEA Grapalat" w:hAnsi="GHEA Grapalat"/>
          <w:lang w:val="hy-AM"/>
        </w:rPr>
        <w:t xml:space="preserve"> </w:t>
      </w:r>
      <w:r w:rsidRPr="00327683">
        <w:rPr>
          <w:rFonts w:ascii="GHEA Grapalat" w:hAnsi="GHEA Grapalat"/>
          <w:lang w:val="hy-AM"/>
        </w:rPr>
        <w:t>կամ</w:t>
      </w:r>
      <w:r w:rsidR="002460CD">
        <w:rPr>
          <w:rFonts w:ascii="GHEA Grapalat" w:hAnsi="GHEA Grapalat"/>
          <w:lang w:val="hy-AM"/>
        </w:rPr>
        <w:t xml:space="preserve"> </w:t>
      </w:r>
      <w:r w:rsidR="002460CD" w:rsidRPr="002460CD">
        <w:rPr>
          <w:rFonts w:ascii="GHEA Grapalat" w:hAnsi="GHEA Grapalat" w:cs="GHEA Grapalat"/>
          <w:lang w:val="hy-AM"/>
        </w:rPr>
        <w:t>ՀԾՀ</w:t>
      </w:r>
      <w:r w:rsidRPr="00327683">
        <w:rPr>
          <w:rFonts w:ascii="GHEA Grapalat" w:hAnsi="GHEA Grapalat"/>
          <w:lang w:val="hy-AM"/>
        </w:rPr>
        <w:t xml:space="preserve"> չունենալու մասին տեղեկանքի մասին նշումով:</w:t>
      </w:r>
    </w:p>
    <w:p w14:paraId="50D28A7D"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 xml:space="preserve">3) Խաղացողը Կազմակերպչի պահանջով ստուգման նպատակով վերջինիս առձեռն տրամադրում է անձը հաստատող փաստաթուղթը և տեղեկանքը, ինչպես նաև ցուցադրում է այն բանկային քարտը, որը օգտագործելու է անմիջականորեն (խաղասրահի միջոցով) խաղադրույքներ կատարելու, կազմակերպիչների կողմից խաղացողներին տրված </w:t>
      </w:r>
      <w:r w:rsidRPr="00327683">
        <w:rPr>
          <w:rFonts w:ascii="GHEA Grapalat" w:hAnsi="GHEA Grapalat"/>
          <w:lang w:val="hy-AM"/>
        </w:rPr>
        <w:lastRenderedPageBreak/>
        <w:t>անհատական խաղային քարտերին դրամական միջոցների համալրման կամ խաղասրահի միջոցով իրեն պատկանող հատուկ խաղային հաշվի համալրման համար:</w:t>
      </w:r>
    </w:p>
    <w:p w14:paraId="3817C70F"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4) Համապատասխան ստուգումն իրականացնելուց հետո Կազմակերպիչը խաղացողին է վերադարձնում անձը հաստատող փաստաթուղթը.</w:t>
      </w:r>
    </w:p>
    <w:p w14:paraId="033C68A3" w14:textId="77777777"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5) Ներկայացված փաստաթղթերի ստուգումն իրականացնելուց հետո, եթե ներկայացված տվյալները համընկնում են և Կազմակերպիչը հավաստիանում է դրամական միջոցների համալրման համար օգտագործվող բանկային հաշիվը կամ քարտը տվյալ խաղացողին պատկանելիության վերաբերյալ, թույլատրում է կատարել խաղադրույքներ կամ համալրել կազմակերպիչների կողմից խաղացողներին տրված անհատական խաղային քարտերի դրամական միջոցները: Եթե ներկայացված տվյալները չեն համընկնում կամ առկա են անճշտություններ, անհամապատասխանություններ՝ Կազմակերպիչը մերժում է խաղացողին կատարել խաղադրույքներ կամ համալրել կազմակերպիչների կողմից խաղացողներին տրված անհատական խաղային քարտերի դրամական միջոցները:</w:t>
      </w:r>
    </w:p>
    <w:p w14:paraId="3F86F50E" w14:textId="21A50948"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5. Խաղացողի կողմից իրեն պատկանող հատուկ խաղային հաշիվը անմիջականորեն (խաղասրահի միջոցով) համալրումներ կատարելու համար «Շահումով խաղերի, ինտերնետ շահումով խաղերի և խաղատների մասին» օրենքի (այսուհետ՝ Օրենք) 6-րդ հոդվածի 2.1-րդ մասի «դ» կետով սահմանված ստուգումը իրականացվ</w:t>
      </w:r>
      <w:r w:rsidR="00B7692D">
        <w:rPr>
          <w:rFonts w:ascii="GHEA Grapalat" w:hAnsi="GHEA Grapalat"/>
          <w:lang w:val="hy-AM"/>
        </w:rPr>
        <w:t xml:space="preserve">ում է </w:t>
      </w:r>
      <w:r w:rsidRPr="00327683">
        <w:rPr>
          <w:rFonts w:ascii="GHEA Grapalat" w:hAnsi="GHEA Grapalat"/>
          <w:lang w:val="hy-AM"/>
        </w:rPr>
        <w:t>սույն Կարգի 4-րդ կետով սահմանված կարգով։</w:t>
      </w:r>
    </w:p>
    <w:p w14:paraId="3773EAA3" w14:textId="3D869526"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6. Հայաստանի Հանրապետության քաղաքացի չհանդիսացող այն մասնակիցների (խաղացող) դեպքում, ովքեր Հայաստանի Հանրապետությունում ունեն ՀԾՀ և իրենց պատկանող հատուկ խաղային հաշիվը համալրելու, անմիջականորեն (խաղասրահի միջոցով) խաղադրույքներ կատարելու կամ 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 Օրենքի 6-րդ հոդվածի 2.1-րդ մասի «դ» կետով սահմանված ստուգումը պետք է իրականացվի սույն կարգի 3-րդ և 4-րդ կետերով սահմանված կարգով։</w:t>
      </w:r>
    </w:p>
    <w:p w14:paraId="74FD43CE" w14:textId="1928305F" w:rsidR="00FC5C6F" w:rsidRPr="00327683" w:rsidRDefault="00FC5C6F" w:rsidP="00FC5C6F">
      <w:pPr>
        <w:spacing w:line="360" w:lineRule="auto"/>
        <w:ind w:firstLine="375"/>
        <w:jc w:val="both"/>
        <w:rPr>
          <w:rFonts w:ascii="GHEA Grapalat" w:hAnsi="GHEA Grapalat"/>
          <w:lang w:val="hy-AM"/>
        </w:rPr>
      </w:pPr>
      <w:r w:rsidRPr="00327683">
        <w:rPr>
          <w:rFonts w:ascii="GHEA Grapalat" w:hAnsi="GHEA Grapalat"/>
          <w:lang w:val="hy-AM"/>
        </w:rPr>
        <w:t xml:space="preserve">7. Հայաստանի Հանրապետության քաղաքացի չհանդիսացող այն մասնակիցների (խաղացող) դեպքում, ովքեր Հայաստանի Հանրապետությունում չունեն </w:t>
      </w:r>
      <w:r w:rsidR="002460CD">
        <w:rPr>
          <w:rFonts w:ascii="GHEA Grapalat" w:hAnsi="GHEA Grapalat"/>
          <w:lang w:val="hy-AM"/>
        </w:rPr>
        <w:t>հ</w:t>
      </w:r>
      <w:r w:rsidRPr="00327683">
        <w:rPr>
          <w:rFonts w:ascii="GHEA Grapalat" w:hAnsi="GHEA Grapalat"/>
          <w:lang w:val="hy-AM"/>
        </w:rPr>
        <w:t xml:space="preserve">անրային ծառայության համարանիշ (ՀԾՀ) և իրենց պատկանող հատուկ խաղային հաշիվը համալրելու, անմիջականորեն (խաղասրահի միջոցով) խաղադրույքներ կատարելու կամ </w:t>
      </w:r>
      <w:r w:rsidRPr="00327683">
        <w:rPr>
          <w:rFonts w:ascii="GHEA Grapalat" w:hAnsi="GHEA Grapalat"/>
          <w:lang w:val="hy-AM"/>
        </w:rPr>
        <w:lastRenderedPageBreak/>
        <w:t>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 Օրենքի 6-րդ հոդվածի 2.1-րդ մասի «դ» կետով սահմանված ստուգումը պետք է իրականացվի սույն կարգի 3-րդ կետով սահմանված կարգով, միայն 3-րդ կետի 3-րդ ենթակետով սահմանված խաղացողի</w:t>
      </w:r>
      <w:r w:rsidR="00191449" w:rsidRPr="00191449">
        <w:rPr>
          <w:rFonts w:ascii="GHEA Grapalat" w:hAnsi="GHEA Grapalat"/>
          <w:lang w:val="hy-AM"/>
        </w:rPr>
        <w:t xml:space="preserve"> </w:t>
      </w:r>
      <w:r w:rsidR="00191449">
        <w:rPr>
          <w:rFonts w:ascii="GHEA Grapalat" w:hAnsi="GHEA Grapalat"/>
          <w:lang w:val="hy-AM"/>
        </w:rPr>
        <w:t>հ</w:t>
      </w:r>
      <w:r w:rsidR="00191449" w:rsidRPr="00327683">
        <w:rPr>
          <w:rFonts w:ascii="GHEA Grapalat" w:hAnsi="GHEA Grapalat"/>
          <w:lang w:val="hy-AM"/>
        </w:rPr>
        <w:t>անրային ծառայության համարանիշ</w:t>
      </w:r>
      <w:r w:rsidR="00191449">
        <w:rPr>
          <w:rFonts w:ascii="GHEA Grapalat" w:hAnsi="GHEA Grapalat"/>
          <w:lang w:val="hy-AM"/>
        </w:rPr>
        <w:t>ի</w:t>
      </w:r>
      <w:r w:rsidR="00191449" w:rsidRPr="00327683">
        <w:rPr>
          <w:rFonts w:ascii="GHEA Grapalat" w:hAnsi="GHEA Grapalat"/>
          <w:lang w:val="hy-AM"/>
        </w:rPr>
        <w:t xml:space="preserve"> (ՀԾՀ)</w:t>
      </w:r>
      <w:r w:rsidRPr="00327683">
        <w:rPr>
          <w:rFonts w:ascii="GHEA Grapalat" w:hAnsi="GHEA Grapalat"/>
          <w:lang w:val="hy-AM"/>
        </w:rPr>
        <w:t xml:space="preserve"> փոխարեն Կազմակերպիչը կներկայացնի խաղացողի անձը հաստատող փաստաթղթի նույնականացման համարը։</w:t>
      </w:r>
    </w:p>
    <w:p w14:paraId="4FD34A85" w14:textId="77777777" w:rsidR="00FC5C6F" w:rsidRPr="00327683" w:rsidRDefault="00FC5C6F" w:rsidP="00FC5C6F">
      <w:pPr>
        <w:ind w:firstLine="375"/>
        <w:jc w:val="both"/>
        <w:rPr>
          <w:rFonts w:ascii="GHEA Grapalat" w:hAnsi="GHEA Grapalat"/>
          <w:lang w:val="hy-AM"/>
        </w:rPr>
      </w:pPr>
      <w:r w:rsidRPr="00327683">
        <w:rPr>
          <w:rFonts w:ascii="Calibri" w:hAnsi="Calibri" w:cs="Calibri"/>
          <w:lang w:val="hy-AM"/>
        </w:rPr>
        <w:t> </w:t>
      </w:r>
    </w:p>
    <w:p w14:paraId="2DE98B9E" w14:textId="5F52AC03" w:rsidR="00912012" w:rsidRPr="00FC5C6F" w:rsidRDefault="00912012" w:rsidP="009463C4">
      <w:pPr>
        <w:ind w:firstLine="375"/>
        <w:rPr>
          <w:rFonts w:ascii="GHEA Grapalat" w:hAnsi="GHEA Grapalat"/>
          <w:color w:val="000000"/>
          <w:lang w:val="hy-AM"/>
        </w:rPr>
      </w:pPr>
    </w:p>
    <w:p w14:paraId="2CC943E1" w14:textId="739DEB7C" w:rsidR="007D34B3" w:rsidRDefault="007D34B3" w:rsidP="00912012">
      <w:pPr>
        <w:spacing w:line="360" w:lineRule="auto"/>
        <w:jc w:val="center"/>
        <w:rPr>
          <w:lang w:val="hy-AM"/>
        </w:rPr>
      </w:pPr>
    </w:p>
    <w:sectPr w:rsidR="007D34B3" w:rsidSect="009463C4">
      <w:headerReference w:type="default" r:id="rId9"/>
      <w:pgSz w:w="11906" w:h="16838"/>
      <w:pgMar w:top="630" w:right="851"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76890" w14:textId="77777777" w:rsidR="00BC35E8" w:rsidRDefault="00BC35E8">
      <w:r>
        <w:separator/>
      </w:r>
    </w:p>
  </w:endnote>
  <w:endnote w:type="continuationSeparator" w:id="0">
    <w:p w14:paraId="28DC1B2F" w14:textId="77777777" w:rsidR="00BC35E8" w:rsidRDefault="00BC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45FCC" w14:textId="77777777" w:rsidR="00BC35E8" w:rsidRDefault="00BC35E8">
      <w:r>
        <w:separator/>
      </w:r>
    </w:p>
  </w:footnote>
  <w:footnote w:type="continuationSeparator" w:id="0">
    <w:p w14:paraId="7EFA6B7B" w14:textId="77777777" w:rsidR="00BC35E8" w:rsidRDefault="00BC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C31AD" w14:textId="77777777" w:rsidR="00461C38" w:rsidRDefault="00461C38" w:rsidP="00461C38">
    <w:pPr>
      <w:jc w:val="right"/>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8231C"/>
    <w:multiLevelType w:val="hybridMultilevel"/>
    <w:tmpl w:val="7E04D8DA"/>
    <w:lvl w:ilvl="0" w:tplc="0409000F">
      <w:start w:val="1"/>
      <w:numFmt w:val="decimal"/>
      <w:lvlText w:val="%1."/>
      <w:lvlJc w:val="left"/>
      <w:pPr>
        <w:ind w:left="720" w:hanging="360"/>
      </w:pPr>
      <w:rPr>
        <w:rFonts w:hint="default"/>
      </w:rPr>
    </w:lvl>
    <w:lvl w:ilvl="1" w:tplc="4DB8E434">
      <w:start w:val="1"/>
      <w:numFmt w:val="upperRoman"/>
      <w:lvlText w:val="%2."/>
      <w:lvlJc w:val="left"/>
      <w:pPr>
        <w:ind w:left="1800" w:hanging="720"/>
      </w:pPr>
      <w:rPr>
        <w:rFonts w:hint="default"/>
        <w:b/>
      </w:rPr>
    </w:lvl>
    <w:lvl w:ilvl="2" w:tplc="9C0A9C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1016B"/>
    <w:multiLevelType w:val="hybridMultilevel"/>
    <w:tmpl w:val="2B70D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845CD"/>
    <w:multiLevelType w:val="hybridMultilevel"/>
    <w:tmpl w:val="B890F2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75C73"/>
    <w:multiLevelType w:val="hybridMultilevel"/>
    <w:tmpl w:val="650C00FC"/>
    <w:lvl w:ilvl="0" w:tplc="A2B6CE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B3"/>
    <w:rsid w:val="00062D40"/>
    <w:rsid w:val="0012172B"/>
    <w:rsid w:val="00191449"/>
    <w:rsid w:val="001C3004"/>
    <w:rsid w:val="00231EAA"/>
    <w:rsid w:val="002369BA"/>
    <w:rsid w:val="002460CD"/>
    <w:rsid w:val="00290425"/>
    <w:rsid w:val="0029676C"/>
    <w:rsid w:val="00332268"/>
    <w:rsid w:val="003A5D6A"/>
    <w:rsid w:val="00426C91"/>
    <w:rsid w:val="00461C38"/>
    <w:rsid w:val="00472F1B"/>
    <w:rsid w:val="004E4D0E"/>
    <w:rsid w:val="00511E95"/>
    <w:rsid w:val="005C1ABE"/>
    <w:rsid w:val="00766E03"/>
    <w:rsid w:val="007A6C2D"/>
    <w:rsid w:val="007D34B3"/>
    <w:rsid w:val="008635A3"/>
    <w:rsid w:val="008D01F8"/>
    <w:rsid w:val="00912012"/>
    <w:rsid w:val="009463C4"/>
    <w:rsid w:val="009A5E5A"/>
    <w:rsid w:val="00A21F6C"/>
    <w:rsid w:val="00A25B68"/>
    <w:rsid w:val="00AD37C5"/>
    <w:rsid w:val="00B34392"/>
    <w:rsid w:val="00B57CF0"/>
    <w:rsid w:val="00B7692D"/>
    <w:rsid w:val="00BA79A9"/>
    <w:rsid w:val="00BC35E8"/>
    <w:rsid w:val="00CB0121"/>
    <w:rsid w:val="00DD7AF5"/>
    <w:rsid w:val="00E6625F"/>
    <w:rsid w:val="00E94008"/>
    <w:rsid w:val="00F05117"/>
    <w:rsid w:val="00F106CB"/>
    <w:rsid w:val="00F6251A"/>
    <w:rsid w:val="00FC01D9"/>
    <w:rsid w:val="00FC5C6F"/>
    <w:rsid w:val="00FD70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79C4"/>
  <w15:docId w15:val="{835C0113-4C91-4F21-871C-C409D64D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44"/>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884E44"/>
    <w:pPr>
      <w:keepNext/>
      <w:keepLines/>
      <w:suppressAutoHyphens w:val="0"/>
      <w:spacing w:before="360" w:after="80"/>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884E44"/>
    <w:pPr>
      <w:keepNext/>
      <w:keepLines/>
      <w:suppressAutoHyphens w:val="0"/>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884E44"/>
    <w:pPr>
      <w:keepNext/>
      <w:keepLines/>
      <w:suppressAutoHyphens w:val="0"/>
      <w:spacing w:before="160" w:after="80"/>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884E44"/>
    <w:pPr>
      <w:keepNext/>
      <w:keepLines/>
      <w:suppressAutoHyphens w:val="0"/>
      <w:spacing w:before="80" w:after="40"/>
      <w:outlineLvl w:val="3"/>
    </w:pPr>
    <w:rPr>
      <w:rFonts w:asciiTheme="minorHAnsi" w:eastAsiaTheme="majorEastAsia" w:hAnsiTheme="minorHAnsi" w:cstheme="majorBidi"/>
      <w:i/>
      <w:iCs/>
      <w:color w:val="2E74B5" w:themeColor="accent1" w:themeShade="BF"/>
      <w:sz w:val="28"/>
      <w:szCs w:val="22"/>
      <w:lang w:eastAsia="en-US"/>
    </w:rPr>
  </w:style>
  <w:style w:type="paragraph" w:styleId="Heading5">
    <w:name w:val="heading 5"/>
    <w:basedOn w:val="Normal"/>
    <w:next w:val="Normal"/>
    <w:link w:val="Heading5Char"/>
    <w:uiPriority w:val="9"/>
    <w:semiHidden/>
    <w:unhideWhenUsed/>
    <w:qFormat/>
    <w:rsid w:val="00884E44"/>
    <w:pPr>
      <w:keepNext/>
      <w:keepLines/>
      <w:suppressAutoHyphens w:val="0"/>
      <w:spacing w:before="80" w:after="40"/>
      <w:outlineLvl w:val="4"/>
    </w:pPr>
    <w:rPr>
      <w:rFonts w:asciiTheme="minorHAnsi" w:eastAsiaTheme="majorEastAsia" w:hAnsiTheme="minorHAnsi" w:cstheme="majorBidi"/>
      <w:color w:val="2E74B5" w:themeColor="accent1" w:themeShade="BF"/>
      <w:sz w:val="28"/>
      <w:szCs w:val="22"/>
      <w:lang w:eastAsia="en-US"/>
    </w:rPr>
  </w:style>
  <w:style w:type="paragraph" w:styleId="Heading6">
    <w:name w:val="heading 6"/>
    <w:basedOn w:val="Normal"/>
    <w:next w:val="Normal"/>
    <w:link w:val="Heading6Char"/>
    <w:uiPriority w:val="9"/>
    <w:semiHidden/>
    <w:unhideWhenUsed/>
    <w:qFormat/>
    <w:rsid w:val="00884E44"/>
    <w:pPr>
      <w:keepNext/>
      <w:keepLines/>
      <w:suppressAutoHyphens w:val="0"/>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Heading7">
    <w:name w:val="heading 7"/>
    <w:basedOn w:val="Normal"/>
    <w:next w:val="Normal"/>
    <w:link w:val="Heading7Char"/>
    <w:uiPriority w:val="9"/>
    <w:semiHidden/>
    <w:unhideWhenUsed/>
    <w:qFormat/>
    <w:rsid w:val="00884E44"/>
    <w:pPr>
      <w:keepNext/>
      <w:keepLines/>
      <w:suppressAutoHyphens w:val="0"/>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Heading8">
    <w:name w:val="heading 8"/>
    <w:basedOn w:val="Normal"/>
    <w:next w:val="Normal"/>
    <w:link w:val="Heading8Char"/>
    <w:uiPriority w:val="9"/>
    <w:semiHidden/>
    <w:unhideWhenUsed/>
    <w:qFormat/>
    <w:rsid w:val="00884E44"/>
    <w:pPr>
      <w:keepNext/>
      <w:keepLines/>
      <w:suppressAutoHyphens w:val="0"/>
      <w:outlineLvl w:val="7"/>
    </w:pPr>
    <w:rPr>
      <w:rFonts w:asciiTheme="minorHAnsi" w:eastAsiaTheme="majorEastAsia" w:hAnsiTheme="minorHAnsi" w:cstheme="majorBidi"/>
      <w:i/>
      <w:iCs/>
      <w:color w:val="272727" w:themeColor="text1" w:themeTint="D8"/>
      <w:sz w:val="28"/>
      <w:szCs w:val="22"/>
      <w:lang w:eastAsia="en-US"/>
    </w:rPr>
  </w:style>
  <w:style w:type="paragraph" w:styleId="Heading9">
    <w:name w:val="heading 9"/>
    <w:basedOn w:val="Normal"/>
    <w:next w:val="Normal"/>
    <w:link w:val="Heading9Char"/>
    <w:uiPriority w:val="9"/>
    <w:semiHidden/>
    <w:unhideWhenUsed/>
    <w:qFormat/>
    <w:rsid w:val="00884E44"/>
    <w:pPr>
      <w:keepNext/>
      <w:keepLines/>
      <w:suppressAutoHyphens w:val="0"/>
      <w:outlineLvl w:val="8"/>
    </w:pPr>
    <w:rPr>
      <w:rFonts w:asciiTheme="minorHAnsi" w:eastAsiaTheme="majorEastAsia" w:hAnsiTheme="minorHAnsi" w:cstheme="majorBidi"/>
      <w:color w:val="272727" w:themeColor="text1" w:themeTint="D8"/>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84E44"/>
    <w:rPr>
      <w:rFonts w:asciiTheme="majorHAnsi" w:eastAsiaTheme="majorEastAsia" w:hAnsiTheme="majorHAnsi" w:cstheme="majorBidi"/>
      <w:color w:val="2E74B5" w:themeColor="accent1" w:themeShade="BF"/>
      <w:kern w:val="0"/>
      <w:sz w:val="40"/>
      <w:szCs w:val="40"/>
      <w14:ligatures w14:val="none"/>
    </w:rPr>
  </w:style>
  <w:style w:type="character" w:customStyle="1" w:styleId="Heading2Char">
    <w:name w:val="Heading 2 Char"/>
    <w:basedOn w:val="DefaultParagraphFont"/>
    <w:link w:val="Heading2"/>
    <w:uiPriority w:val="9"/>
    <w:semiHidden/>
    <w:qFormat/>
    <w:rsid w:val="00884E44"/>
    <w:rPr>
      <w:rFonts w:asciiTheme="majorHAnsi" w:eastAsiaTheme="majorEastAsia" w:hAnsiTheme="majorHAnsi" w:cstheme="majorBidi"/>
      <w:color w:val="2E74B5" w:themeColor="accent1" w:themeShade="BF"/>
      <w:kern w:val="0"/>
      <w:sz w:val="32"/>
      <w:szCs w:val="32"/>
      <w14:ligatures w14:val="none"/>
    </w:rPr>
  </w:style>
  <w:style w:type="character" w:customStyle="1" w:styleId="Heading3Char">
    <w:name w:val="Heading 3 Char"/>
    <w:basedOn w:val="DefaultParagraphFont"/>
    <w:link w:val="Heading3"/>
    <w:uiPriority w:val="9"/>
    <w:semiHidden/>
    <w:qFormat/>
    <w:rsid w:val="00884E44"/>
    <w:rPr>
      <w:rFonts w:eastAsiaTheme="majorEastAsia" w:cstheme="majorBidi"/>
      <w:color w:val="2E74B5" w:themeColor="accent1" w:themeShade="BF"/>
      <w:kern w:val="0"/>
      <w:sz w:val="28"/>
      <w:szCs w:val="28"/>
      <w14:ligatures w14:val="none"/>
    </w:rPr>
  </w:style>
  <w:style w:type="character" w:customStyle="1" w:styleId="Heading4Char">
    <w:name w:val="Heading 4 Char"/>
    <w:basedOn w:val="DefaultParagraphFont"/>
    <w:link w:val="Heading4"/>
    <w:uiPriority w:val="9"/>
    <w:semiHidden/>
    <w:qFormat/>
    <w:rsid w:val="00884E44"/>
    <w:rPr>
      <w:rFonts w:eastAsiaTheme="majorEastAsia" w:cstheme="majorBidi"/>
      <w:i/>
      <w:iCs/>
      <w:color w:val="2E74B5" w:themeColor="accent1" w:themeShade="BF"/>
      <w:kern w:val="0"/>
      <w:sz w:val="28"/>
      <w14:ligatures w14:val="none"/>
    </w:rPr>
  </w:style>
  <w:style w:type="character" w:customStyle="1" w:styleId="Heading5Char">
    <w:name w:val="Heading 5 Char"/>
    <w:basedOn w:val="DefaultParagraphFont"/>
    <w:link w:val="Heading5"/>
    <w:uiPriority w:val="9"/>
    <w:semiHidden/>
    <w:qFormat/>
    <w:rsid w:val="00884E44"/>
    <w:rPr>
      <w:rFonts w:eastAsiaTheme="majorEastAsia" w:cstheme="majorBidi"/>
      <w:color w:val="2E74B5" w:themeColor="accent1" w:themeShade="BF"/>
      <w:kern w:val="0"/>
      <w:sz w:val="28"/>
      <w14:ligatures w14:val="none"/>
    </w:rPr>
  </w:style>
  <w:style w:type="character" w:customStyle="1" w:styleId="Heading6Char">
    <w:name w:val="Heading 6 Char"/>
    <w:basedOn w:val="DefaultParagraphFont"/>
    <w:link w:val="Heading6"/>
    <w:uiPriority w:val="9"/>
    <w:semiHidden/>
    <w:qFormat/>
    <w:rsid w:val="00884E44"/>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qFormat/>
    <w:rsid w:val="00884E44"/>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qFormat/>
    <w:rsid w:val="00884E44"/>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qFormat/>
    <w:rsid w:val="00884E44"/>
    <w:rPr>
      <w:rFonts w:eastAsiaTheme="majorEastAsia" w:cstheme="majorBidi"/>
      <w:color w:val="272727" w:themeColor="text1" w:themeTint="D8"/>
      <w:kern w:val="0"/>
      <w:sz w:val="28"/>
      <w14:ligatures w14:val="none"/>
    </w:rPr>
  </w:style>
  <w:style w:type="character" w:customStyle="1" w:styleId="TitleChar">
    <w:name w:val="Title Char"/>
    <w:basedOn w:val="DefaultParagraphFont"/>
    <w:link w:val="Title"/>
    <w:uiPriority w:val="10"/>
    <w:qFormat/>
    <w:rsid w:val="00884E44"/>
    <w:rPr>
      <w:rFonts w:asciiTheme="majorHAnsi" w:eastAsiaTheme="majorEastAsia" w:hAnsiTheme="majorHAnsi" w:cstheme="majorBidi"/>
      <w:spacing w:val="-10"/>
      <w:kern w:val="2"/>
      <w:sz w:val="56"/>
      <w:szCs w:val="56"/>
      <w14:ligatures w14:val="none"/>
    </w:rPr>
  </w:style>
  <w:style w:type="character" w:customStyle="1" w:styleId="SubtitleChar">
    <w:name w:val="Subtitle Char"/>
    <w:basedOn w:val="DefaultParagraphFont"/>
    <w:link w:val="Subtitle"/>
    <w:uiPriority w:val="11"/>
    <w:qFormat/>
    <w:rsid w:val="00884E44"/>
    <w:rPr>
      <w:rFonts w:eastAsiaTheme="majorEastAsia"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884E44"/>
    <w:rPr>
      <w:rFonts w:ascii="Times New Roman" w:hAnsi="Times New Roman"/>
      <w:i/>
      <w:iCs/>
      <w:color w:val="404040" w:themeColor="text1" w:themeTint="BF"/>
      <w:kern w:val="0"/>
      <w:sz w:val="28"/>
      <w14:ligatures w14:val="none"/>
    </w:rPr>
  </w:style>
  <w:style w:type="character" w:styleId="IntenseEmphasis">
    <w:name w:val="Intense Emphasis"/>
    <w:basedOn w:val="DefaultParagraphFont"/>
    <w:uiPriority w:val="21"/>
    <w:qFormat/>
    <w:rsid w:val="00884E44"/>
    <w:rPr>
      <w:i/>
      <w:iCs/>
      <w:color w:val="2E74B5" w:themeColor="accent1" w:themeShade="BF"/>
    </w:rPr>
  </w:style>
  <w:style w:type="character" w:customStyle="1" w:styleId="IntenseQuoteChar">
    <w:name w:val="Intense Quote Char"/>
    <w:basedOn w:val="DefaultParagraphFont"/>
    <w:link w:val="IntenseQuote"/>
    <w:uiPriority w:val="30"/>
    <w:qFormat/>
    <w:rsid w:val="00884E44"/>
    <w:rPr>
      <w:rFonts w:ascii="Times New Roman" w:hAnsi="Times New Roman"/>
      <w:i/>
      <w:iCs/>
      <w:color w:val="2E74B5" w:themeColor="accent1" w:themeShade="BF"/>
      <w:kern w:val="0"/>
      <w:sz w:val="28"/>
      <w14:ligatures w14:val="none"/>
    </w:rPr>
  </w:style>
  <w:style w:type="character" w:styleId="IntenseReference">
    <w:name w:val="Intense Reference"/>
    <w:basedOn w:val="DefaultParagraphFont"/>
    <w:uiPriority w:val="32"/>
    <w:qFormat/>
    <w:rsid w:val="00884E44"/>
    <w:rPr>
      <w:b/>
      <w:bCs/>
      <w:smallCaps/>
      <w:color w:val="2E74B5"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84E44"/>
    <w:pPr>
      <w:suppressAutoHyphens w:val="0"/>
      <w:spacing w:after="8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884E44"/>
    <w:pPr>
      <w:suppressAutoHyphens w:val="0"/>
      <w:spacing w:after="160"/>
    </w:pPr>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84E44"/>
    <w:pPr>
      <w:suppressAutoHyphens w:val="0"/>
      <w:spacing w:before="160" w:after="160"/>
      <w:jc w:val="center"/>
    </w:pPr>
    <w:rPr>
      <w:rFonts w:eastAsiaTheme="minorHAnsi" w:cstheme="minorBidi"/>
      <w:i/>
      <w:iCs/>
      <w:color w:val="404040" w:themeColor="text1" w:themeTint="BF"/>
      <w:sz w:val="28"/>
      <w:szCs w:val="22"/>
      <w:lang w:eastAsia="en-US"/>
    </w:rPr>
  </w:style>
  <w:style w:type="paragraph" w:styleId="ListParagraph">
    <w:name w:val="List Paragraph"/>
    <w:basedOn w:val="Normal"/>
    <w:uiPriority w:val="34"/>
    <w:qFormat/>
    <w:rsid w:val="00884E44"/>
    <w:pPr>
      <w:suppressAutoHyphens w:val="0"/>
      <w:spacing w:after="160"/>
      <w:ind w:left="720"/>
      <w:contextualSpacing/>
    </w:pPr>
    <w:rPr>
      <w:rFonts w:eastAsiaTheme="minorHAnsi" w:cstheme="minorBidi"/>
      <w:sz w:val="28"/>
      <w:szCs w:val="22"/>
      <w:lang w:eastAsia="en-US"/>
    </w:rPr>
  </w:style>
  <w:style w:type="paragraph" w:styleId="IntenseQuote">
    <w:name w:val="Intense Quote"/>
    <w:basedOn w:val="Normal"/>
    <w:next w:val="Normal"/>
    <w:link w:val="IntenseQuoteChar"/>
    <w:uiPriority w:val="30"/>
    <w:qFormat/>
    <w:rsid w:val="00884E44"/>
    <w:pPr>
      <w:pBdr>
        <w:top w:val="single" w:sz="4" w:space="10" w:color="2E74B5"/>
        <w:bottom w:val="single" w:sz="4" w:space="10" w:color="2E74B5"/>
      </w:pBdr>
      <w:suppressAutoHyphens w:val="0"/>
      <w:spacing w:before="360" w:after="360"/>
      <w:ind w:left="864" w:right="864"/>
      <w:jc w:val="center"/>
    </w:pPr>
    <w:rPr>
      <w:rFonts w:eastAsiaTheme="minorHAnsi" w:cstheme="minorBidi"/>
      <w:i/>
      <w:iCs/>
      <w:color w:val="2E74B5" w:themeColor="accent1" w:themeShade="BF"/>
      <w:sz w:val="28"/>
      <w:szCs w:val="22"/>
      <w:lang w:eastAsia="en-US"/>
    </w:rPr>
  </w:style>
  <w:style w:type="table" w:styleId="TableGrid">
    <w:name w:val="Table Grid"/>
    <w:basedOn w:val="TableNormal"/>
    <w:uiPriority w:val="39"/>
    <w:rsid w:val="00B57CF0"/>
    <w:pPr>
      <w:suppressAutoHyphens w:val="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C38"/>
    <w:pPr>
      <w:tabs>
        <w:tab w:val="center" w:pos="4680"/>
        <w:tab w:val="right" w:pos="9360"/>
      </w:tabs>
    </w:pPr>
  </w:style>
  <w:style w:type="character" w:customStyle="1" w:styleId="HeaderChar">
    <w:name w:val="Header Char"/>
    <w:basedOn w:val="DefaultParagraphFont"/>
    <w:link w:val="Header"/>
    <w:uiPriority w:val="99"/>
    <w:rsid w:val="00461C38"/>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461C38"/>
    <w:pPr>
      <w:tabs>
        <w:tab w:val="center" w:pos="4680"/>
        <w:tab w:val="right" w:pos="9360"/>
      </w:tabs>
    </w:pPr>
  </w:style>
  <w:style w:type="character" w:customStyle="1" w:styleId="FooterChar">
    <w:name w:val="Footer Char"/>
    <w:basedOn w:val="DefaultParagraphFont"/>
    <w:link w:val="Footer"/>
    <w:uiPriority w:val="99"/>
    <w:rsid w:val="00461C38"/>
    <w:rPr>
      <w:rFonts w:ascii="Times New Roman" w:eastAsia="Times New Roman" w:hAnsi="Times New Roman" w:cs="Times New Roman"/>
      <w:kern w:val="0"/>
      <w:sz w:val="24"/>
      <w:szCs w:val="24"/>
      <w:lang w:eastAsia="ru-RU"/>
      <w14:ligatures w14:val="none"/>
    </w:rPr>
  </w:style>
  <w:style w:type="paragraph" w:styleId="NormalWeb">
    <w:name w:val="Normal (Web)"/>
    <w:basedOn w:val="Normal"/>
    <w:uiPriority w:val="99"/>
    <w:unhideWhenUsed/>
    <w:rsid w:val="009463C4"/>
    <w:pPr>
      <w:suppressAutoHyphens w:val="0"/>
      <w:spacing w:before="100" w:beforeAutospacing="1" w:after="100" w:afterAutospacing="1"/>
    </w:pPr>
    <w:rPr>
      <w:lang w:val="en-US" w:eastAsia="en-US"/>
    </w:rPr>
  </w:style>
  <w:style w:type="character" w:styleId="Emphasis">
    <w:name w:val="Emphasis"/>
    <w:basedOn w:val="DefaultParagraphFont"/>
    <w:uiPriority w:val="20"/>
    <w:qFormat/>
    <w:rsid w:val="002460CD"/>
    <w:rPr>
      <w:i/>
      <w:iCs/>
    </w:rPr>
  </w:style>
  <w:style w:type="character" w:styleId="Strong">
    <w:name w:val="Strong"/>
    <w:basedOn w:val="DefaultParagraphFont"/>
    <w:uiPriority w:val="22"/>
    <w:qFormat/>
    <w:rsid w:val="00CB0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88FB-720C-4EF8-80E0-EFC38757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Martirosyan</dc:creator>
  <cp:keywords>https:/mul2-mineconomy.gov.am/tasks/925792/oneclick?token=12fe6631b93dba3a3fa1da148e854c58</cp:keywords>
  <dc:description/>
  <cp:lastModifiedBy>Lia Zh. Avetisyan</cp:lastModifiedBy>
  <cp:revision>3</cp:revision>
  <dcterms:created xsi:type="dcterms:W3CDTF">2026-03-11T11:35:00Z</dcterms:created>
  <dcterms:modified xsi:type="dcterms:W3CDTF">2026-03-11T11:53:00Z</dcterms:modified>
  <dc:language>en-US</dc:language>
</cp:coreProperties>
</file>