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C9C2" w14:textId="295B8CF6" w:rsidR="00D039F8" w:rsidRPr="004C762C" w:rsidRDefault="00552B98" w:rsidP="00BB358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</w:pPr>
      <w:r w:rsidRPr="004C762C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ՆԱԽԱԳԻԾ</w:t>
      </w:r>
    </w:p>
    <w:p w14:paraId="06E8C68D" w14:textId="77777777" w:rsidR="00D039F8" w:rsidRPr="004C762C" w:rsidRDefault="00D039F8" w:rsidP="00BB358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</w:pPr>
    </w:p>
    <w:p w14:paraId="3FD827A5" w14:textId="78EBD693" w:rsidR="00BB3585" w:rsidRPr="004C762C" w:rsidRDefault="00BB3585" w:rsidP="00BB358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4C76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4C76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ՕՐԵՆՔԸ</w:t>
      </w:r>
    </w:p>
    <w:p w14:paraId="6275C54C" w14:textId="63346394" w:rsidR="00BB3585" w:rsidRPr="004C762C" w:rsidRDefault="00A9449B" w:rsidP="00BB358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4C76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ՎԱՐՉԱԿԱՆ ԻՐԱՎԱԽԱԽՏՈՒՄՆԵՐԻ ՎԵՐԱԲԵՐՅԱԼ ՀԱՅԱՍՏԱՆԻ ՀԱՆՐԱՊԵՏՈՒԹՅԱՆ ՕՐԵՆՍԳՐՔՈՒՄ ԼՐԱՑՈՒՄ</w:t>
      </w:r>
      <w:r w:rsidR="00136022" w:rsidRPr="004C76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</w:t>
      </w:r>
      <w:r w:rsidRPr="004C76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14:paraId="6098BC10" w14:textId="1CFC3A00" w:rsidR="004C762C" w:rsidRPr="004C762C" w:rsidRDefault="00BB3585" w:rsidP="00174BAB">
      <w:pPr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C762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1985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6-ի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իրավախախտումների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C244E" w:rsidRPr="004C762C">
        <w:rPr>
          <w:rFonts w:ascii="GHEA Grapalat" w:hAnsi="GHEA Grapalat"/>
          <w:sz w:val="24"/>
          <w:szCs w:val="24"/>
        </w:rPr>
        <w:t>Հայաստանի</w:t>
      </w:r>
      <w:proofErr w:type="spellEnd"/>
      <w:r w:rsidR="004C244E" w:rsidRPr="004C76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244E" w:rsidRPr="004C762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C244E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47128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="00E47128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E47128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E47128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Օրենսգիրք</w:t>
      </w:r>
      <w:proofErr w:type="spellEnd"/>
      <w:r w:rsidR="00E47128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E47128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762C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123-րդ </w:t>
      </w:r>
      <w:r w:rsidR="004C762C" w:rsidRPr="004C762C">
        <w:rPr>
          <w:rFonts w:ascii="GHEA Grapalat" w:hAnsi="GHEA Grapalat"/>
          <w:color w:val="333333"/>
          <w:sz w:val="24"/>
          <w:szCs w:val="24"/>
          <w:highlight w:val="yellow"/>
          <w:shd w:val="clear" w:color="auto" w:fill="FFFFFF"/>
          <w:lang w:val="hy-AM"/>
        </w:rPr>
        <w:t>հոդվածի 1-ին մասում «</w:t>
      </w:r>
      <w:r w:rsidR="004C762C" w:rsidRPr="004C762C">
        <w:rPr>
          <w:rFonts w:ascii="GHEA Grapalat" w:hAnsi="GHEA Grapalat" w:cs="Arial"/>
          <w:color w:val="333333"/>
          <w:sz w:val="24"/>
          <w:szCs w:val="24"/>
          <w:highlight w:val="yellow"/>
          <w:shd w:val="clear" w:color="auto" w:fill="FFFFFF"/>
          <w:lang w:val="hy-AM"/>
        </w:rPr>
        <w:t>միջոցները վարելը</w:t>
      </w:r>
      <w:r w:rsidR="004C762C" w:rsidRPr="004C762C">
        <w:rPr>
          <w:rFonts w:ascii="GHEA Grapalat" w:hAnsi="GHEA Grapalat"/>
          <w:color w:val="333333"/>
          <w:sz w:val="24"/>
          <w:szCs w:val="24"/>
          <w:highlight w:val="yellow"/>
          <w:shd w:val="clear" w:color="auto" w:fill="FFFFFF"/>
          <w:lang w:val="hy-AM"/>
        </w:rPr>
        <w:t>» բառերից հետո լրացնել «բացառությամբ</w:t>
      </w:r>
      <w:r w:rsidR="004C762C" w:rsidRPr="004C762C">
        <w:rPr>
          <w:rFonts w:ascii="GHEA Grapalat" w:hAnsi="GHEA Grapalat" w:cs="Arial"/>
          <w:color w:val="333333"/>
          <w:sz w:val="24"/>
          <w:szCs w:val="24"/>
          <w:highlight w:val="yellow"/>
          <w:shd w:val="clear" w:color="auto" w:fill="FFFFFF"/>
          <w:lang w:val="hy-AM"/>
        </w:rPr>
        <w:t xml:space="preserve"> սույն հոդվածի 1</w:t>
      </w:r>
      <w:r w:rsidR="004C762C" w:rsidRPr="004C762C">
        <w:rPr>
          <w:rFonts w:ascii="Cambria Math" w:hAnsi="Cambria Math" w:cs="Cambria Math"/>
          <w:color w:val="333333"/>
          <w:sz w:val="24"/>
          <w:szCs w:val="24"/>
          <w:highlight w:val="yellow"/>
          <w:shd w:val="clear" w:color="auto" w:fill="FFFFFF"/>
          <w:lang w:val="hy-AM"/>
        </w:rPr>
        <w:t>․</w:t>
      </w:r>
      <w:r w:rsidR="004C762C" w:rsidRPr="004C762C">
        <w:rPr>
          <w:rFonts w:ascii="GHEA Grapalat" w:hAnsi="GHEA Grapalat"/>
          <w:color w:val="333333"/>
          <w:sz w:val="24"/>
          <w:szCs w:val="24"/>
          <w:highlight w:val="yellow"/>
          <w:shd w:val="clear" w:color="auto" w:fill="FFFFFF"/>
          <w:lang w:val="hy-AM"/>
        </w:rPr>
        <w:t>1-1</w:t>
      </w:r>
      <w:r w:rsidR="004C762C" w:rsidRPr="004C762C">
        <w:rPr>
          <w:rFonts w:ascii="Cambria Math" w:hAnsi="Cambria Math" w:cs="Cambria Math"/>
          <w:color w:val="333333"/>
          <w:sz w:val="24"/>
          <w:szCs w:val="24"/>
          <w:highlight w:val="yellow"/>
          <w:shd w:val="clear" w:color="auto" w:fill="FFFFFF"/>
          <w:lang w:val="hy-AM"/>
        </w:rPr>
        <w:t>․</w:t>
      </w:r>
      <w:r w:rsidR="004C762C" w:rsidRPr="004C762C">
        <w:rPr>
          <w:rFonts w:ascii="GHEA Grapalat" w:hAnsi="GHEA Grapalat"/>
          <w:color w:val="333333"/>
          <w:sz w:val="24"/>
          <w:szCs w:val="24"/>
          <w:highlight w:val="yellow"/>
          <w:shd w:val="clear" w:color="auto" w:fill="FFFFFF"/>
          <w:lang w:val="hy-AM"/>
        </w:rPr>
        <w:t xml:space="preserve">4-րդ մասերով </w:t>
      </w:r>
      <w:r w:rsidR="004C762C" w:rsidRPr="004C762C">
        <w:rPr>
          <w:rFonts w:ascii="GHEA Grapalat" w:hAnsi="GHEA Grapalat" w:cs="Arial"/>
          <w:color w:val="333333"/>
          <w:sz w:val="24"/>
          <w:szCs w:val="24"/>
          <w:highlight w:val="yellow"/>
          <w:shd w:val="clear" w:color="auto" w:fill="FFFFFF"/>
          <w:lang w:val="hy-AM"/>
        </w:rPr>
        <w:t>նախատեսված իրավախախտումների</w:t>
      </w:r>
      <w:r w:rsidR="004C762C" w:rsidRPr="004C762C">
        <w:rPr>
          <w:rFonts w:ascii="GHEA Grapalat" w:hAnsi="GHEA Grapalat"/>
          <w:color w:val="333333"/>
          <w:sz w:val="24"/>
          <w:szCs w:val="24"/>
          <w:highlight w:val="yellow"/>
          <w:shd w:val="clear" w:color="auto" w:fill="FFFFFF"/>
          <w:lang w:val="hy-AM"/>
        </w:rPr>
        <w:t>» բառերը</w:t>
      </w:r>
      <w:r w:rsidR="004C762C" w:rsidRPr="004C762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03551BE1" w14:textId="053E12A0" w:rsidR="00E11B86" w:rsidRPr="004C762C" w:rsidRDefault="004C762C" w:rsidP="00174BAB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4C762C">
        <w:rPr>
          <w:rFonts w:ascii="GHEA Grapalat" w:eastAsia="Calibri" w:hAnsi="GHEA Grapalat" w:cs="Sylfaen"/>
          <w:b/>
          <w:bCs/>
          <w:i/>
          <w:iCs/>
          <w:sz w:val="24"/>
          <w:szCs w:val="24"/>
          <w:lang w:val="hy-AM"/>
        </w:rPr>
        <w:t>Հոդված 2.</w:t>
      </w:r>
      <w:r w:rsidRPr="004C762C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4C762C">
        <w:rPr>
          <w:rFonts w:ascii="GHEA Grapalat" w:eastAsia="Calibri" w:hAnsi="GHEA Grapalat" w:cs="Calibri"/>
          <w:sz w:val="24"/>
          <w:szCs w:val="24"/>
          <w:lang w:val="hy-AM"/>
        </w:rPr>
        <w:t xml:space="preserve">Օրենսգրքի </w:t>
      </w:r>
      <w:r w:rsidR="00BB3585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9449B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="00BB3585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AF1168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հոդվածի </w:t>
      </w:r>
      <w:r w:rsidR="00C55097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</w:t>
      </w:r>
      <w:r w:rsidR="00353D0D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F1168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մասից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լրացնել  հետևյալ բովանդակությամբ 1.1</w:t>
      </w:r>
      <w:r w:rsidR="004C244E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7D6BBE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C244E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C55097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</w:t>
      </w:r>
      <w:r w:rsidR="00374AFC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F1C5BF0" w14:textId="58706A1A" w:rsidR="00E11B86" w:rsidRPr="004C762C" w:rsidRDefault="00353D0D" w:rsidP="00174BAB">
      <w:pPr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Hlk173951318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bookmarkStart w:id="1" w:name="_Hlk181017627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E11B86" w:rsidRPr="004C762C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4C244E" w:rsidRPr="004C762C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Նոյեմբերի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15-</w:t>
      </w:r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ից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մինչև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մարտի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31-</w:t>
      </w:r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ը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ներառյալ</w:t>
      </w:r>
      <w:proofErr w:type="spellEnd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՝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թեթև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մարդատար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ավտոմոբիլ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մինչև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3,5 </w:t>
      </w:r>
      <w:proofErr w:type="spellStart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տոննա</w:t>
      </w:r>
      <w:proofErr w:type="spellEnd"/>
      <w:r w:rsidR="00E11B86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թույլատրելի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առավելագույն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զանգված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բեռնատար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ավտոմոբիլ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ամառային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անվադողերով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վարելը</w:t>
      </w:r>
      <w:proofErr w:type="spellEnd"/>
      <w:r w:rsidR="00E11B86"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2CD20623" w14:textId="4EC4B7D3" w:rsidR="00E11B86" w:rsidRPr="004C762C" w:rsidRDefault="00E11B86" w:rsidP="00174BAB">
      <w:pPr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առաջացնում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տուգանքի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նշանակում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նվազագույն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աշխատավարձի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քսանհինգապատիկի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չափով</w:t>
      </w:r>
      <w:proofErr w:type="spellEnd"/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6AE28E2" w14:textId="7CB3C963" w:rsidR="00E11B86" w:rsidRPr="004C762C" w:rsidRDefault="00E11B86" w:rsidP="00174BAB">
      <w:pPr>
        <w:spacing w:after="0" w:line="276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4C762C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  <w:r w:rsidRPr="004C762C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4C244E" w:rsidRPr="004C762C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Հունիս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հուլիս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օգոստոս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ամի</w:t>
      </w:r>
      <w:proofErr w:type="spellEnd"/>
      <w:r w:rsidR="009C2DDE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ս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ներին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="00136022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բութակավոր հակասահքային դողերով</w:t>
      </w:r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տրանսպորտային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միջոց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վարելը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՝</w:t>
      </w:r>
    </w:p>
    <w:p w14:paraId="560AF188" w14:textId="77777777" w:rsidR="007D5A94" w:rsidRPr="004C762C" w:rsidRDefault="00E11B86" w:rsidP="00174BAB">
      <w:pPr>
        <w:spacing w:after="0" w:line="276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առաջացնում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տուգանքի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նշանակում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`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սահմանված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նվազագույն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աշխատավարձի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տասնհինգապատիկի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չափով</w:t>
      </w:r>
      <w:proofErr w:type="spellEnd"/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։</w:t>
      </w:r>
      <w:bookmarkEnd w:id="1"/>
    </w:p>
    <w:p w14:paraId="79D4AB0A" w14:textId="2659BC18" w:rsidR="00F40751" w:rsidRPr="004C762C" w:rsidRDefault="007D5A94" w:rsidP="00174BAB">
      <w:pPr>
        <w:spacing w:after="0" w:line="276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1</w:t>
      </w:r>
      <w:r w:rsidRPr="004C762C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3</w:t>
      </w:r>
      <w:r w:rsidRPr="004C762C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="00F40751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Ճանապարհածածկին ձյան կամ մերկասառույցի առկայության պարագայում </w:t>
      </w:r>
      <w:r w:rsidR="00053BEC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«Երթևեկությունը հակասահքային շղթաներով» 4</w:t>
      </w:r>
      <w:r w:rsidR="00053BEC" w:rsidRPr="004C762C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="00053BEC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9</w:t>
      </w:r>
      <w:r w:rsidR="00053BEC" w:rsidRPr="004C762C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="00053BEC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1  ճանապարհային նշանի</w:t>
      </w:r>
      <w:r w:rsidR="00F40751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ազդման գոտում </w:t>
      </w:r>
      <w:r w:rsidR="00D90BD5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3,5 տոննայից ավելի թույլատրելի առավելագույն զանգված ունեցող բեռնատար ավտոմոբիլների և ավտոբուսների առնվազն երկու տանող անիվների վրա առանց </w:t>
      </w:r>
      <w:r w:rsidR="00053BEC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տվյալ տրանսպորտային միջոցի տեսակին, դողի չափսերին և անվտանգ երթևեկությանը համապատասխանող</w:t>
      </w:r>
      <w:r w:rsidR="00053BEC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="00D90BD5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հակասահքային շղթաների երթևեկությունը</w:t>
      </w:r>
      <w:r w:rsidR="00F40751"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՝</w:t>
      </w:r>
    </w:p>
    <w:p w14:paraId="4951DB97" w14:textId="77777777" w:rsidR="007D6BBE" w:rsidRPr="004C762C" w:rsidRDefault="00F40751" w:rsidP="00F40751">
      <w:pPr>
        <w:spacing w:after="0" w:line="276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r w:rsidRPr="004C762C">
        <w:rPr>
          <w:rFonts w:ascii="GHEA Grapalat" w:eastAsia="Times New Roman" w:hAnsi="GHEA Grapalat" w:cs="GHEA Grapalat"/>
          <w:color w:val="000000"/>
          <w:sz w:val="24"/>
          <w:szCs w:val="24"/>
        </w:rPr>
        <w:t>առաջացնում է տուգանքի նշանակում` սահմանված նվազագույն աշխատավարձի հիսնապատիկի չափով։</w:t>
      </w:r>
    </w:p>
    <w:p w14:paraId="0A3DAB2C" w14:textId="6D55437C" w:rsidR="007D6BBE" w:rsidRPr="004C762C" w:rsidRDefault="007D6BBE" w:rsidP="007D6BBE">
      <w:pPr>
        <w:spacing w:after="0" w:line="276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1</w:t>
      </w:r>
      <w:r w:rsidRPr="004C762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4</w:t>
      </w:r>
      <w:r w:rsidRPr="004C762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 xml:space="preserve"> Ձմեռային դողերը, բութակավոր հակասահքային դողերը (դրանց կիրառման պարագայում) տրանսպորտային միջոցի բոլոր անիվների վրա չտեղադրելը յուրաքանչյուր չտեղադրված դողի մասով՝</w:t>
      </w:r>
    </w:p>
    <w:p w14:paraId="439AC876" w14:textId="28472830" w:rsidR="00F40751" w:rsidRPr="004C762C" w:rsidRDefault="007D6BBE" w:rsidP="00F40751">
      <w:pPr>
        <w:spacing w:after="0" w:line="276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առաջացնում է տուգանքի նշանակում` սահմանված նվազագույն աշխատավարձի քսանապատիկի չափով</w:t>
      </w:r>
      <w:r w:rsidR="00053BEC" w:rsidRPr="004C762C">
        <w:rPr>
          <w:rFonts w:ascii="GHEA Grapalat" w:eastAsia="Calibri" w:hAnsi="GHEA Grapalat" w:cs="Sylfaen"/>
          <w:sz w:val="24"/>
          <w:szCs w:val="24"/>
          <w:lang w:val="hy-AM"/>
        </w:rPr>
        <w:t xml:space="preserve">՝ </w:t>
      </w:r>
      <w:r w:rsidR="00053BEC" w:rsidRPr="004C762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յուրաքանչյուր չտեղադրված դողի մասով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 w:rsidR="00F40751" w:rsidRPr="004C762C">
        <w:rPr>
          <w:rFonts w:ascii="GHEA Grapalat" w:eastAsia="Calibri" w:hAnsi="GHEA Grapalat" w:cs="Sylfaen"/>
          <w:sz w:val="24"/>
          <w:szCs w:val="24"/>
          <w:lang w:val="hy-AM"/>
        </w:rPr>
        <w:t>»։</w:t>
      </w:r>
    </w:p>
    <w:p w14:paraId="35E4C5A3" w14:textId="47EBA376" w:rsidR="00E47128" w:rsidRPr="004C762C" w:rsidRDefault="00E47128" w:rsidP="00E47128">
      <w:pPr>
        <w:spacing w:after="0" w:line="276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C762C">
        <w:rPr>
          <w:rFonts w:ascii="GHEA Grapalat" w:eastAsia="Calibri" w:hAnsi="GHEA Grapalat" w:cs="Sylfaen"/>
          <w:b/>
          <w:bCs/>
          <w:i/>
          <w:iCs/>
          <w:sz w:val="24"/>
          <w:szCs w:val="24"/>
          <w:lang w:val="hy-AM"/>
        </w:rPr>
        <w:t xml:space="preserve">Հոդված </w:t>
      </w:r>
      <w:r w:rsidR="004C762C" w:rsidRPr="004C762C">
        <w:rPr>
          <w:rFonts w:ascii="GHEA Grapalat" w:eastAsia="Calibri" w:hAnsi="GHEA Grapalat" w:cs="Sylfaen"/>
          <w:b/>
          <w:bCs/>
          <w:i/>
          <w:iCs/>
          <w:sz w:val="24"/>
          <w:szCs w:val="24"/>
          <w:lang w:val="hy-AM"/>
        </w:rPr>
        <w:t>3</w:t>
      </w:r>
      <w:r w:rsidRPr="004C762C">
        <w:rPr>
          <w:rFonts w:ascii="GHEA Grapalat" w:eastAsia="Calibri" w:hAnsi="GHEA Grapalat" w:cs="Sylfaen"/>
          <w:b/>
          <w:bCs/>
          <w:i/>
          <w:iCs/>
          <w:sz w:val="24"/>
          <w:szCs w:val="24"/>
          <w:lang w:val="hy-AM"/>
        </w:rPr>
        <w:t>.</w:t>
      </w:r>
      <w:r w:rsidRPr="004C762C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Օրենսգրքի 124</w:t>
      </w:r>
      <w:r w:rsidRPr="004C762C">
        <w:rPr>
          <w:rFonts w:ascii="GHEA Grapalat" w:eastAsia="Calibri" w:hAnsi="GHEA Grapalat" w:cs="Sylfaen"/>
          <w:sz w:val="24"/>
          <w:szCs w:val="24"/>
          <w:vertAlign w:val="superscript"/>
          <w:lang w:val="hy-AM"/>
        </w:rPr>
        <w:t>6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-րդ հոդվածի 1-ին մասից հետո լրացնել  հետևյալ բովանդակությամբ 1.1</w:t>
      </w:r>
      <w:r w:rsidR="0009523C" w:rsidRPr="004C762C">
        <w:rPr>
          <w:rFonts w:ascii="GHEA Grapalat" w:eastAsia="Calibri" w:hAnsi="GHEA Grapalat" w:cs="Sylfaen"/>
          <w:sz w:val="24"/>
          <w:szCs w:val="24"/>
          <w:lang w:val="hy-AM"/>
        </w:rPr>
        <w:t>-ին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 xml:space="preserve"> մասը.</w:t>
      </w:r>
    </w:p>
    <w:p w14:paraId="1CE04963" w14:textId="5F054828" w:rsidR="00E47128" w:rsidRPr="004C762C" w:rsidRDefault="00E47128" w:rsidP="0009523C">
      <w:pPr>
        <w:spacing w:after="0" w:line="276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«1</w:t>
      </w:r>
      <w:r w:rsidRPr="004C762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1 Սույն օրենսգրքի 123-րդ հոդվածի 1.1-1.4-րդ մասեր</w:t>
      </w:r>
      <w:r w:rsidR="00A87AB0" w:rsidRPr="004C762C">
        <w:rPr>
          <w:rFonts w:ascii="GHEA Grapalat" w:eastAsia="Calibri" w:hAnsi="GHEA Grapalat" w:cs="Sylfaen"/>
          <w:sz w:val="24"/>
          <w:szCs w:val="24"/>
          <w:lang w:val="hy-AM"/>
        </w:rPr>
        <w:t>ով սահմանված իրավախախտումների հետևանքով վթարային իրադրություն ստեղծելը՝</w:t>
      </w:r>
    </w:p>
    <w:p w14:paraId="2AE5DD1E" w14:textId="0C899183" w:rsidR="00E47128" w:rsidRPr="004C762C" w:rsidRDefault="00E47128" w:rsidP="0009523C">
      <w:pPr>
        <w:spacing w:after="0" w:line="276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առաջացնում է տուգանքի նշանակում` սահմանված նվազագույն աշխատավարձի </w:t>
      </w:r>
      <w:r w:rsidR="00070519" w:rsidRPr="004C762C">
        <w:rPr>
          <w:rFonts w:ascii="GHEA Grapalat" w:eastAsia="Calibri" w:hAnsi="GHEA Grapalat" w:cs="Sylfaen"/>
          <w:sz w:val="24"/>
          <w:szCs w:val="24"/>
          <w:lang w:val="hy-AM"/>
        </w:rPr>
        <w:t>երեսունապատիկ</w:t>
      </w:r>
      <w:r w:rsidR="00A87AB0" w:rsidRPr="004C762C">
        <w:rPr>
          <w:rFonts w:ascii="GHEA Grapalat" w:eastAsia="Calibri" w:hAnsi="GHEA Grapalat" w:cs="Sylfaen"/>
          <w:sz w:val="24"/>
          <w:szCs w:val="24"/>
          <w:lang w:val="hy-AM"/>
        </w:rPr>
        <w:t xml:space="preserve">ից </w:t>
      </w:r>
      <w:r w:rsidR="00070519" w:rsidRPr="004C762C">
        <w:rPr>
          <w:rFonts w:ascii="GHEA Grapalat" w:eastAsia="Calibri" w:hAnsi="GHEA Grapalat" w:cs="Sylfaen"/>
          <w:sz w:val="24"/>
          <w:szCs w:val="24"/>
          <w:lang w:val="hy-AM"/>
        </w:rPr>
        <w:t>հիսունա</w:t>
      </w:r>
      <w:r w:rsidR="0009523C" w:rsidRPr="004C762C">
        <w:rPr>
          <w:rFonts w:ascii="GHEA Grapalat" w:eastAsia="Calibri" w:hAnsi="GHEA Grapalat" w:cs="Sylfaen"/>
          <w:sz w:val="24"/>
          <w:szCs w:val="24"/>
          <w:lang w:val="hy-AM"/>
        </w:rPr>
        <w:t>պատիկի</w:t>
      </w:r>
      <w:r w:rsidR="00A87AB0" w:rsidRPr="004C762C">
        <w:rPr>
          <w:rFonts w:ascii="GHEA Grapalat" w:eastAsia="Calibri" w:hAnsi="GHEA Grapalat" w:cs="Sylfaen"/>
          <w:sz w:val="24"/>
          <w:szCs w:val="24"/>
          <w:lang w:val="hy-AM"/>
        </w:rPr>
        <w:t xml:space="preserve"> չափով:</w:t>
      </w:r>
    </w:p>
    <w:p w14:paraId="5D13A60E" w14:textId="195FC6A3" w:rsidR="0009523C" w:rsidRPr="004C762C" w:rsidRDefault="0009523C" w:rsidP="0009523C">
      <w:pPr>
        <w:spacing w:after="0" w:line="276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4C762C"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4</w:t>
      </w:r>
      <w:r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Pr="004C762C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Օրենսգրքի 124</w:t>
      </w:r>
      <w:r w:rsidRPr="004C762C">
        <w:rPr>
          <w:rFonts w:ascii="GHEA Grapalat" w:eastAsia="Calibri" w:hAnsi="GHEA Grapalat" w:cs="Sylfaen"/>
          <w:sz w:val="24"/>
          <w:szCs w:val="24"/>
          <w:vertAlign w:val="superscript"/>
          <w:lang w:val="hy-AM"/>
        </w:rPr>
        <w:t>6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-րդ հոդվածի 2-րդ մասից հետո լրացնել  հետևյալ բովանդակությամբ 2.1-ին մասը.</w:t>
      </w:r>
    </w:p>
    <w:p w14:paraId="6CD5A9FC" w14:textId="49E00D2A" w:rsidR="0009523C" w:rsidRPr="004C762C" w:rsidRDefault="0009523C" w:rsidP="00B566F9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>«2</w:t>
      </w:r>
      <w:r w:rsidRPr="004C762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C762C">
        <w:rPr>
          <w:rFonts w:ascii="GHEA Grapalat" w:eastAsia="Calibri" w:hAnsi="GHEA Grapalat" w:cs="Sylfaen"/>
          <w:sz w:val="24"/>
          <w:szCs w:val="24"/>
          <w:lang w:val="hy-AM"/>
        </w:rPr>
        <w:t xml:space="preserve">1 Սույն օրենսգրքի 123-րդ հոդվածի 1.1-1.4-րդ մասերով սահմանված </w:t>
      </w:r>
      <w:r w:rsidR="00136022" w:rsidRPr="004C762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արարք կատարելը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որի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հետևանքով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առաջացած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ճանապարհատրանսպորտային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պատահարի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հետևանքով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անձի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առողջությանը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պատճառվել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թեթև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վնաս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>`</w:t>
      </w:r>
    </w:p>
    <w:p w14:paraId="4B755DB4" w14:textId="6EFA987E" w:rsidR="0009523C" w:rsidRPr="004C762C" w:rsidRDefault="0009523C" w:rsidP="00B566F9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առաջացնում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տուգանքի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նշանակում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`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սահմանված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նվազագույն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>աշխատավարձի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70519" w:rsidRPr="004C762C">
        <w:rPr>
          <w:rFonts w:ascii="GHEA Grapalat" w:eastAsia="Calibri" w:hAnsi="GHEA Grapalat" w:cs="Sylfaen"/>
          <w:sz w:val="24"/>
          <w:szCs w:val="24"/>
          <w:lang w:val="hy-AM"/>
        </w:rPr>
        <w:t>հիսունապատիկի</w:t>
      </w:r>
      <w:r w:rsidRPr="004C762C">
        <w:rPr>
          <w:rFonts w:ascii="GHEA Grapalat" w:eastAsia="MS Mincho" w:hAnsi="GHEA Grapalat" w:cs="Sylfaen"/>
          <w:sz w:val="24"/>
          <w:szCs w:val="24"/>
          <w:lang w:val="hy-AM"/>
        </w:rPr>
        <w:t xml:space="preserve"> չափով</w:t>
      </w:r>
      <w:r w:rsidRPr="004C762C">
        <w:rPr>
          <w:rFonts w:ascii="GHEA Grapalat" w:eastAsia="MS Mincho" w:hAnsi="GHEA Grapalat" w:cs="MS Mincho"/>
          <w:sz w:val="24"/>
          <w:szCs w:val="24"/>
          <w:lang w:val="hy-AM"/>
        </w:rPr>
        <w:t>:</w:t>
      </w:r>
      <w:r w:rsidR="00B566F9" w:rsidRPr="004C762C">
        <w:rPr>
          <w:rFonts w:ascii="GHEA Grapalat" w:eastAsia="MS Mincho" w:hAnsi="GHEA Grapalat" w:cs="MS Mincho"/>
          <w:sz w:val="24"/>
          <w:szCs w:val="24"/>
          <w:lang w:val="hy-AM"/>
        </w:rPr>
        <w:t>»։</w:t>
      </w:r>
    </w:p>
    <w:bookmarkEnd w:id="0"/>
    <w:p w14:paraId="79AE0D5F" w14:textId="566566BB" w:rsidR="00C55097" w:rsidRPr="004C762C" w:rsidRDefault="00BB3585" w:rsidP="00C901CC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4C762C"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5</w:t>
      </w:r>
      <w:r w:rsidRPr="004C76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Pr="004C762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C55097" w:rsidRPr="004C7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362CF04" w14:textId="77777777" w:rsidR="00E5342A" w:rsidRPr="004C762C" w:rsidRDefault="00E5342A" w:rsidP="00C901CC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95C533" w14:textId="1FD56658" w:rsidR="008B5931" w:rsidRPr="004C762C" w:rsidRDefault="008B5931" w:rsidP="008B5931">
      <w:pPr>
        <w:spacing w:line="360" w:lineRule="auto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4C762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Հանրապետության  նախագահ                                 Վ. Խաչատուրյան</w:t>
      </w:r>
    </w:p>
    <w:p w14:paraId="0727E01F" w14:textId="434F98EE" w:rsidR="00E5342A" w:rsidRPr="004C762C" w:rsidRDefault="008B5931" w:rsidP="00E5342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/>
          <w:bCs/>
          <w:color w:val="000000"/>
          <w:lang w:val="hy-AM"/>
        </w:rPr>
      </w:pPr>
      <w:r w:rsidRPr="004C762C">
        <w:rPr>
          <w:rFonts w:ascii="GHEA Grapalat" w:hAnsi="GHEA Grapalat"/>
          <w:b/>
          <w:bCs/>
          <w:color w:val="000000"/>
          <w:lang w:val="hy-AM"/>
        </w:rPr>
        <w:t>Երևան</w:t>
      </w:r>
    </w:p>
    <w:p w14:paraId="3393AC8E" w14:textId="77777777" w:rsidR="00E5342A" w:rsidRPr="004C762C" w:rsidRDefault="00E5342A" w:rsidP="00E5342A">
      <w:pPr>
        <w:rPr>
          <w:rFonts w:ascii="GHEA Grapalat" w:hAnsi="GHEA Grapalat"/>
          <w:lang w:val="hy-AM"/>
        </w:rPr>
      </w:pPr>
    </w:p>
    <w:sectPr w:rsidR="00E5342A" w:rsidRPr="004C762C" w:rsidSect="00CA1EB7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6B12"/>
    <w:multiLevelType w:val="hybridMultilevel"/>
    <w:tmpl w:val="E244081E"/>
    <w:lvl w:ilvl="0" w:tplc="DC6CC060">
      <w:start w:val="1"/>
      <w:numFmt w:val="decimal"/>
      <w:lvlText w:val="%1."/>
      <w:lvlJc w:val="left"/>
      <w:pPr>
        <w:ind w:left="0"/>
      </w:pPr>
      <w:rPr>
        <w:rFonts w:ascii="GHEA Grapalat" w:eastAsia="Arial Unicode MS" w:hAnsi="GHEA Grapalat" w:cs="Arial Unicode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3642F0">
      <w:start w:val="1"/>
      <w:numFmt w:val="lowerLetter"/>
      <w:lvlText w:val="%2"/>
      <w:lvlJc w:val="left"/>
      <w:pPr>
        <w:ind w:left="145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06BBC2">
      <w:start w:val="1"/>
      <w:numFmt w:val="lowerRoman"/>
      <w:lvlText w:val="%3"/>
      <w:lvlJc w:val="left"/>
      <w:pPr>
        <w:ind w:left="217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0FECC">
      <w:start w:val="1"/>
      <w:numFmt w:val="decimal"/>
      <w:lvlText w:val="%4"/>
      <w:lvlJc w:val="left"/>
      <w:pPr>
        <w:ind w:left="28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67006">
      <w:start w:val="1"/>
      <w:numFmt w:val="lowerLetter"/>
      <w:lvlText w:val="%5"/>
      <w:lvlJc w:val="left"/>
      <w:pPr>
        <w:ind w:left="361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94F21C">
      <w:start w:val="1"/>
      <w:numFmt w:val="lowerRoman"/>
      <w:lvlText w:val="%6"/>
      <w:lvlJc w:val="left"/>
      <w:pPr>
        <w:ind w:left="433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FCE8AC">
      <w:start w:val="1"/>
      <w:numFmt w:val="decimal"/>
      <w:lvlText w:val="%7"/>
      <w:lvlJc w:val="left"/>
      <w:pPr>
        <w:ind w:left="505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CE78">
      <w:start w:val="1"/>
      <w:numFmt w:val="lowerLetter"/>
      <w:lvlText w:val="%8"/>
      <w:lvlJc w:val="left"/>
      <w:pPr>
        <w:ind w:left="577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B07A86">
      <w:start w:val="1"/>
      <w:numFmt w:val="lowerRoman"/>
      <w:lvlText w:val="%9"/>
      <w:lvlJc w:val="left"/>
      <w:pPr>
        <w:ind w:left="649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76766E"/>
    <w:multiLevelType w:val="hybridMultilevel"/>
    <w:tmpl w:val="CC16E69E"/>
    <w:lvl w:ilvl="0" w:tplc="4A7A7876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7CB27970"/>
    <w:multiLevelType w:val="hybridMultilevel"/>
    <w:tmpl w:val="BCEAD94E"/>
    <w:lvl w:ilvl="0" w:tplc="84F88E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89136281">
    <w:abstractNumId w:val="0"/>
  </w:num>
  <w:num w:numId="2" w16cid:durableId="814182313">
    <w:abstractNumId w:val="1"/>
  </w:num>
  <w:num w:numId="3" w16cid:durableId="30443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85"/>
    <w:rsid w:val="00033C70"/>
    <w:rsid w:val="00053BEC"/>
    <w:rsid w:val="00054730"/>
    <w:rsid w:val="00070519"/>
    <w:rsid w:val="00090CB6"/>
    <w:rsid w:val="0009523C"/>
    <w:rsid w:val="00110EAB"/>
    <w:rsid w:val="00135FA8"/>
    <w:rsid w:val="00136022"/>
    <w:rsid w:val="00161994"/>
    <w:rsid w:val="00174BAB"/>
    <w:rsid w:val="001C079D"/>
    <w:rsid w:val="002159A7"/>
    <w:rsid w:val="002171B5"/>
    <w:rsid w:val="00264DBE"/>
    <w:rsid w:val="002830DD"/>
    <w:rsid w:val="00293309"/>
    <w:rsid w:val="00303B95"/>
    <w:rsid w:val="00307A03"/>
    <w:rsid w:val="00353D0D"/>
    <w:rsid w:val="00374AFC"/>
    <w:rsid w:val="00377787"/>
    <w:rsid w:val="00392847"/>
    <w:rsid w:val="00392EBC"/>
    <w:rsid w:val="003A544C"/>
    <w:rsid w:val="003B2418"/>
    <w:rsid w:val="00402543"/>
    <w:rsid w:val="004055AB"/>
    <w:rsid w:val="00414E1B"/>
    <w:rsid w:val="004501A4"/>
    <w:rsid w:val="004679E8"/>
    <w:rsid w:val="004A6935"/>
    <w:rsid w:val="004B07A8"/>
    <w:rsid w:val="004C244E"/>
    <w:rsid w:val="004C762C"/>
    <w:rsid w:val="004D6882"/>
    <w:rsid w:val="0054009B"/>
    <w:rsid w:val="00547DAB"/>
    <w:rsid w:val="00552B98"/>
    <w:rsid w:val="00576359"/>
    <w:rsid w:val="005C7D75"/>
    <w:rsid w:val="005E1583"/>
    <w:rsid w:val="005E5ED1"/>
    <w:rsid w:val="00603A41"/>
    <w:rsid w:val="00622E95"/>
    <w:rsid w:val="006436CE"/>
    <w:rsid w:val="006A2884"/>
    <w:rsid w:val="006A3F20"/>
    <w:rsid w:val="006E2627"/>
    <w:rsid w:val="007168BE"/>
    <w:rsid w:val="00746A5A"/>
    <w:rsid w:val="0075742C"/>
    <w:rsid w:val="00773AD8"/>
    <w:rsid w:val="007A07A5"/>
    <w:rsid w:val="007B0216"/>
    <w:rsid w:val="007D5A94"/>
    <w:rsid w:val="007D6BBE"/>
    <w:rsid w:val="007E18D5"/>
    <w:rsid w:val="00807728"/>
    <w:rsid w:val="00817115"/>
    <w:rsid w:val="00832902"/>
    <w:rsid w:val="00840DB7"/>
    <w:rsid w:val="00886D0F"/>
    <w:rsid w:val="008B5931"/>
    <w:rsid w:val="008D66B7"/>
    <w:rsid w:val="008F04AD"/>
    <w:rsid w:val="00915BE8"/>
    <w:rsid w:val="0092495A"/>
    <w:rsid w:val="00940CC8"/>
    <w:rsid w:val="00991A58"/>
    <w:rsid w:val="009B0B68"/>
    <w:rsid w:val="009C2DDE"/>
    <w:rsid w:val="009F6BC5"/>
    <w:rsid w:val="00A15E19"/>
    <w:rsid w:val="00A720DA"/>
    <w:rsid w:val="00A76174"/>
    <w:rsid w:val="00A87AB0"/>
    <w:rsid w:val="00A9198F"/>
    <w:rsid w:val="00A9449B"/>
    <w:rsid w:val="00AB1CA9"/>
    <w:rsid w:val="00AD1768"/>
    <w:rsid w:val="00AD2A58"/>
    <w:rsid w:val="00AD4936"/>
    <w:rsid w:val="00AF1168"/>
    <w:rsid w:val="00B06456"/>
    <w:rsid w:val="00B12163"/>
    <w:rsid w:val="00B14905"/>
    <w:rsid w:val="00B1734B"/>
    <w:rsid w:val="00B566F9"/>
    <w:rsid w:val="00B66BC0"/>
    <w:rsid w:val="00B66E3A"/>
    <w:rsid w:val="00B70112"/>
    <w:rsid w:val="00B806C2"/>
    <w:rsid w:val="00B90483"/>
    <w:rsid w:val="00B911F1"/>
    <w:rsid w:val="00BA496C"/>
    <w:rsid w:val="00BB3585"/>
    <w:rsid w:val="00BC2241"/>
    <w:rsid w:val="00BD0CA6"/>
    <w:rsid w:val="00C04491"/>
    <w:rsid w:val="00C229A6"/>
    <w:rsid w:val="00C55097"/>
    <w:rsid w:val="00C901CC"/>
    <w:rsid w:val="00C97391"/>
    <w:rsid w:val="00CA1EB7"/>
    <w:rsid w:val="00CA775A"/>
    <w:rsid w:val="00CA7CD9"/>
    <w:rsid w:val="00CE6B55"/>
    <w:rsid w:val="00CF7C85"/>
    <w:rsid w:val="00D039F8"/>
    <w:rsid w:val="00D0438B"/>
    <w:rsid w:val="00D06C79"/>
    <w:rsid w:val="00D401D2"/>
    <w:rsid w:val="00D53960"/>
    <w:rsid w:val="00D84920"/>
    <w:rsid w:val="00D90BD5"/>
    <w:rsid w:val="00DA5CB7"/>
    <w:rsid w:val="00DD7F10"/>
    <w:rsid w:val="00E11B86"/>
    <w:rsid w:val="00E30D51"/>
    <w:rsid w:val="00E47128"/>
    <w:rsid w:val="00E5342A"/>
    <w:rsid w:val="00E659D0"/>
    <w:rsid w:val="00EB62A2"/>
    <w:rsid w:val="00ED49FA"/>
    <w:rsid w:val="00EF6A63"/>
    <w:rsid w:val="00F327C6"/>
    <w:rsid w:val="00F40751"/>
    <w:rsid w:val="00F4268A"/>
    <w:rsid w:val="00F42E69"/>
    <w:rsid w:val="00F46F3C"/>
    <w:rsid w:val="00F70984"/>
    <w:rsid w:val="00F842B9"/>
    <w:rsid w:val="00FB784D"/>
    <w:rsid w:val="00FC2561"/>
    <w:rsid w:val="00FC3397"/>
    <w:rsid w:val="00FD4B4B"/>
    <w:rsid w:val="00FE1A64"/>
    <w:rsid w:val="00FE3595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F1BEE"/>
  <w15:chartTrackingRefBased/>
  <w15:docId w15:val="{B8ED2662-F8BA-4D25-9C0F-0FD846C5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3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3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5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35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B3585"/>
    <w:rPr>
      <w:b/>
      <w:bCs/>
    </w:rPr>
  </w:style>
  <w:style w:type="paragraph" w:styleId="NormalWeb">
    <w:name w:val="Normal (Web)"/>
    <w:basedOn w:val="Normal"/>
    <w:uiPriority w:val="99"/>
    <w:unhideWhenUsed/>
    <w:rsid w:val="00BB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7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C85"/>
    <w:pPr>
      <w:spacing w:after="0" w:line="240" w:lineRule="auto"/>
      <w:ind w:firstLine="365"/>
      <w:jc w:val="both"/>
    </w:pPr>
    <w:rPr>
      <w:rFonts w:ascii="Arial Unicode MS" w:eastAsia="Arial Unicode MS" w:hAnsi="Arial Unicode MS" w:cs="Arial Unicode MS"/>
      <w:color w:val="000000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C85"/>
    <w:rPr>
      <w:rFonts w:ascii="Arial Unicode MS" w:eastAsia="Arial Unicode MS" w:hAnsi="Arial Unicode MS" w:cs="Arial Unicode MS"/>
      <w:color w:val="000000"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AD2A58"/>
    <w:pPr>
      <w:ind w:left="720"/>
      <w:contextualSpacing/>
    </w:pPr>
  </w:style>
  <w:style w:type="paragraph" w:styleId="Revision">
    <w:name w:val="Revision"/>
    <w:hidden/>
    <w:uiPriority w:val="99"/>
    <w:semiHidden/>
    <w:rsid w:val="00E11B8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82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82"/>
    <w:rPr>
      <w:rFonts w:ascii="Arial Unicode MS" w:eastAsia="Arial Unicode MS" w:hAnsi="Arial Unicode MS" w:cs="Arial Unicode MS"/>
      <w:b/>
      <w:bCs/>
      <w:color w:val="000000"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0EC7-EB8E-44EF-8A8F-22200C6A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</dc:creator>
  <cp:keywords>https:/mul2-mta.gov.am/tasks/1654685/oneclick/4388e454d2d3729de9b4fe4ef766b3d13a551fe9c50aef00cc1baea15801b9bf.docx?token=79c5828479673bc7213717994e669c3f</cp:keywords>
  <dc:description/>
  <cp:lastModifiedBy>Arevhat Poghosyan</cp:lastModifiedBy>
  <cp:revision>12</cp:revision>
  <dcterms:created xsi:type="dcterms:W3CDTF">2025-12-10T14:59:00Z</dcterms:created>
  <dcterms:modified xsi:type="dcterms:W3CDTF">2026-01-14T18:46:00Z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7fc6a9c7fdcf98dcf88edb1b0ba1d7d5eb41b20993393c1d1ce3ac0a7344be78</vt:lpwstr>
  </property>
</Properties>
</file>