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D276" w14:textId="77777777" w:rsidR="003A66F6" w:rsidRPr="003A66F6" w:rsidRDefault="003A66F6" w:rsidP="003A66F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3A66F6">
        <w:rPr>
          <w:rFonts w:ascii="GHEA Grapalat" w:hAnsi="GHEA Grapalat"/>
          <w:sz w:val="24"/>
          <w:szCs w:val="24"/>
        </w:rPr>
        <w:t>ՆԱԽԱԳԻԾ</w:t>
      </w:r>
    </w:p>
    <w:p w14:paraId="149CA754" w14:textId="77777777" w:rsidR="003A66F6" w:rsidRPr="003A66F6" w:rsidRDefault="003A66F6" w:rsidP="003A66F6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8CC04CD" w14:textId="77777777" w:rsidR="003A66F6" w:rsidRPr="003A66F6" w:rsidRDefault="003A66F6" w:rsidP="003A66F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3A66F6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14:paraId="4562B53C" w14:textId="77777777" w:rsidR="003A66F6" w:rsidRPr="003A66F6" w:rsidRDefault="003A66F6" w:rsidP="003A66F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3A66F6">
        <w:rPr>
          <w:rFonts w:ascii="GHEA Grapalat" w:hAnsi="GHEA Grapalat"/>
          <w:b/>
          <w:bCs/>
          <w:sz w:val="24"/>
          <w:szCs w:val="24"/>
        </w:rPr>
        <w:t>Ո Ր Ո Շ ՈՒ Մ</w:t>
      </w:r>
    </w:p>
    <w:p w14:paraId="76CF8F57" w14:textId="6ED2929F" w:rsidR="003A66F6" w:rsidRPr="003A66F6" w:rsidRDefault="003A66F6" w:rsidP="003A66F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3BB06ED" w14:textId="30C49695" w:rsidR="003A66F6" w:rsidRPr="003A66F6" w:rsidRDefault="003A66F6" w:rsidP="003A66F6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3A66F6">
        <w:rPr>
          <w:rFonts w:ascii="GHEA Grapalat" w:hAnsi="GHEA Grapalat"/>
          <w:b/>
          <w:bCs/>
          <w:sz w:val="24"/>
          <w:szCs w:val="24"/>
        </w:rPr>
        <w:t>------------- 202</w:t>
      </w:r>
      <w:r>
        <w:rPr>
          <w:rFonts w:ascii="GHEA Grapalat" w:hAnsi="GHEA Grapalat"/>
          <w:b/>
          <w:bCs/>
          <w:sz w:val="24"/>
          <w:szCs w:val="24"/>
        </w:rPr>
        <w:t>5</w:t>
      </w:r>
      <w:r w:rsidRPr="003A66F6">
        <w:rPr>
          <w:rFonts w:ascii="GHEA Grapalat" w:hAnsi="GHEA Grapalat"/>
          <w:b/>
          <w:bCs/>
          <w:sz w:val="24"/>
          <w:szCs w:val="24"/>
        </w:rPr>
        <w:t xml:space="preserve"> թվականի </w:t>
      </w:r>
      <w:r w:rsidR="002A0708">
        <w:rPr>
          <w:rFonts w:ascii="GHEA Grapalat" w:hAnsi="GHEA Grapalat"/>
          <w:b/>
          <w:bCs/>
          <w:sz w:val="24"/>
          <w:szCs w:val="24"/>
        </w:rPr>
        <w:tab/>
      </w:r>
      <w:r w:rsidR="002A0708">
        <w:rPr>
          <w:rFonts w:ascii="GHEA Grapalat" w:hAnsi="GHEA Grapalat"/>
          <w:b/>
          <w:bCs/>
          <w:sz w:val="24"/>
          <w:szCs w:val="24"/>
        </w:rPr>
        <w:tab/>
      </w:r>
      <w:r w:rsidR="002A0708">
        <w:rPr>
          <w:rFonts w:ascii="GHEA Grapalat" w:hAnsi="GHEA Grapalat"/>
          <w:b/>
          <w:bCs/>
          <w:sz w:val="24"/>
          <w:szCs w:val="24"/>
        </w:rPr>
        <w:tab/>
      </w:r>
      <w:r w:rsidRPr="003A66F6">
        <w:rPr>
          <w:rFonts w:ascii="GHEA Grapalat" w:hAnsi="GHEA Grapalat"/>
          <w:b/>
          <w:bCs/>
          <w:sz w:val="24"/>
          <w:szCs w:val="24"/>
        </w:rPr>
        <w:t>N</w:t>
      </w:r>
      <w:r w:rsidR="002A070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A66F6">
        <w:rPr>
          <w:rFonts w:ascii="GHEA Grapalat" w:hAnsi="GHEA Grapalat"/>
          <w:b/>
          <w:bCs/>
          <w:sz w:val="24"/>
          <w:szCs w:val="24"/>
        </w:rPr>
        <w:t>-Ն</w:t>
      </w:r>
    </w:p>
    <w:p w14:paraId="30E27562" w14:textId="72B3042C" w:rsidR="003A66F6" w:rsidRDefault="003A66F6" w:rsidP="003A66F6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3A66F6">
        <w:rPr>
          <w:rFonts w:ascii="GHEA Grapalat" w:hAnsi="GHEA Grapalat"/>
          <w:sz w:val="24"/>
          <w:szCs w:val="24"/>
        </w:rPr>
        <w:t xml:space="preserve"> </w:t>
      </w:r>
    </w:p>
    <w:p w14:paraId="6F172B4D" w14:textId="77777777" w:rsidR="002E582B" w:rsidRDefault="00A222AA" w:rsidP="002A0708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A3790">
        <w:rPr>
          <w:rFonts w:ascii="GHEA Grapalat" w:hAnsi="GHEA Grapalat"/>
          <w:b/>
          <w:bCs/>
          <w:sz w:val="24"/>
          <w:szCs w:val="24"/>
        </w:rPr>
        <w:t xml:space="preserve">ԲՆԱԿՉՈՒԹՅԱՆ ՍՈՑԻԱԼԱԿԱՆ ԿԱՄ ՀԱՏՈՒԿ ԽՄԲԵՐԻ ԵՎ ԱՅՆ ՀԻՎԱՆԴՈՒԹՅՈՒՆՆԵՐԻ ՑԱՆԿԵՐԸ, ՈՐՈՆՑ ԴԵՊՔՈՒՄ ԴԵՂԵՐԸ ՇԱՀԱՌՈՒՆԵՐԻՆ ՀԱՏԿԱՑՎՈՒՄ ԵՆ ԴՐԱՆՑ ԱՐԺԵՔԻ ԼՐԻՎ ԿԱՄ ՄԱՍՆԱԿԻ ՓՈԽՀԱՏՈՒՑՄԱՄԲ, </w:t>
      </w:r>
      <w:r w:rsidR="00AB1E3B" w:rsidRPr="00AA3790">
        <w:rPr>
          <w:rFonts w:ascii="GHEA Grapalat" w:hAnsi="GHEA Grapalat"/>
          <w:b/>
          <w:bCs/>
          <w:sz w:val="24"/>
          <w:szCs w:val="24"/>
        </w:rPr>
        <w:t xml:space="preserve">ԱՅԴ ԽՄԲԵՐԻ ՑԱՆԿՈՒՄ ԸՆԴԳՐԿՎԱԾ ՇԱՀԱՌՈՒՆԵՐԻՆ ՀԱՅԱՍՏԱՆԻ </w:t>
      </w:r>
      <w:r w:rsidRPr="00AA3790">
        <w:rPr>
          <w:rFonts w:ascii="GHEA Grapalat" w:hAnsi="GHEA Grapalat"/>
          <w:b/>
          <w:bCs/>
          <w:sz w:val="24"/>
          <w:szCs w:val="24"/>
        </w:rPr>
        <w:t>ՀԱՆՐԱՊԵՏՈՒԹՅԱՆ ՊԵՏԱԿԱՆ ԲՅՈՒՋԵԻ ՄԻՋՈՑՆԵՐԻ ՀԱՇՎԻՆ ԱՅԴ ԴԵՂԵՐԻ ՓՈԽՀԱՏՈՒՑՄԱՆ ԵՎ ՀԱՏԿԱՑՄԱՆ ԿԱՐԳ</w:t>
      </w:r>
      <w:r w:rsidR="007A6EDD" w:rsidRPr="00AA3790">
        <w:rPr>
          <w:rFonts w:ascii="GHEA Grapalat" w:hAnsi="GHEA Grapalat"/>
          <w:b/>
          <w:bCs/>
          <w:sz w:val="24"/>
          <w:szCs w:val="24"/>
        </w:rPr>
        <w:t>Ը</w:t>
      </w:r>
      <w:r w:rsidRPr="00AA3790">
        <w:rPr>
          <w:rFonts w:ascii="GHEA Grapalat" w:hAnsi="GHEA Grapalat"/>
          <w:b/>
          <w:bCs/>
          <w:sz w:val="24"/>
          <w:szCs w:val="24"/>
        </w:rPr>
        <w:t>,</w:t>
      </w:r>
    </w:p>
    <w:p w14:paraId="58B3F149" w14:textId="370B5A24" w:rsidR="007767F4" w:rsidRPr="00A222AA" w:rsidRDefault="00A222AA" w:rsidP="002A0708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A3790">
        <w:rPr>
          <w:rFonts w:ascii="GHEA Grapalat" w:hAnsi="GHEA Grapalat"/>
          <w:b/>
          <w:bCs/>
          <w:sz w:val="24"/>
          <w:szCs w:val="24"/>
        </w:rPr>
        <w:t xml:space="preserve"> ԻՆՉՊԵՍ ՆԱԵՎ ԱՌՈՂՋՈՒԹՅԱՆ ՀԱՄԸՆԴՀԱՆՈՒՐ ԱՊԱՀՈՎԱԳՐՈՒԹՅԱՆ ՇՐՋԱՆԱԿՆԵՐՈՒՄ ԱՊԱՀՈՎԱԳՐԱԿԱՆ ՓԱԹԵԹՈՒՄ ՆԵՐԱՌՎԱԾ ԴԵՂԵՐԻ ԾԱԽՍԵՐԻ</w:t>
      </w:r>
      <w:r w:rsidR="00AA3790" w:rsidRPr="00AA379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A3790">
        <w:rPr>
          <w:rFonts w:ascii="GHEA Grapalat" w:hAnsi="GHEA Grapalat"/>
          <w:b/>
          <w:bCs/>
          <w:sz w:val="24"/>
          <w:szCs w:val="24"/>
        </w:rPr>
        <w:t>ՀԱՏՈՒՑՄԱՆ ԿԱՐԳԸ</w:t>
      </w:r>
      <w:r w:rsidR="002E582B">
        <w:rPr>
          <w:rFonts w:ascii="GHEA Grapalat" w:hAnsi="GHEA Grapalat"/>
          <w:b/>
          <w:bCs/>
          <w:sz w:val="24"/>
          <w:szCs w:val="24"/>
        </w:rPr>
        <w:t xml:space="preserve">, </w:t>
      </w:r>
      <w:r w:rsidR="002E582B" w:rsidRPr="002E582B">
        <w:rPr>
          <w:rFonts w:ascii="GHEA Grapalat" w:hAnsi="GHEA Grapalat"/>
          <w:b/>
          <w:bCs/>
          <w:sz w:val="24"/>
          <w:szCs w:val="24"/>
        </w:rPr>
        <w:t>ԱՊԱՀՈՎԱԳՐԱԿԱՆ ՓԱԹԵԹՈՒՄ ՆԵՐԱՌՎԱԾ ԴԵՂԵՐԻ ՑԱՆԿԸ</w:t>
      </w:r>
      <w:r w:rsidR="002E582B" w:rsidRPr="00AA379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A3790">
        <w:rPr>
          <w:rFonts w:ascii="GHEA Grapalat" w:hAnsi="GHEA Grapalat"/>
          <w:b/>
          <w:bCs/>
          <w:sz w:val="24"/>
          <w:szCs w:val="24"/>
        </w:rPr>
        <w:t>ՀԱՍՏԱՏԵԼՈՒ</w:t>
      </w:r>
      <w:r w:rsidR="00B33C05">
        <w:rPr>
          <w:rFonts w:ascii="GHEA Grapalat" w:hAnsi="GHEA Grapalat"/>
          <w:b/>
          <w:bCs/>
          <w:sz w:val="24"/>
          <w:szCs w:val="24"/>
        </w:rPr>
        <w:t xml:space="preserve"> ԵՎ </w:t>
      </w:r>
      <w:r w:rsidR="00B33C05" w:rsidRPr="00B33C05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2019 ԹՎԱԿԱՆԻ ՄԱՅԻՍԻ 30-</w:t>
      </w:r>
      <w:r w:rsidR="00B33C05">
        <w:rPr>
          <w:rFonts w:ascii="GHEA Grapalat" w:hAnsi="GHEA Grapalat"/>
          <w:b/>
          <w:bCs/>
          <w:sz w:val="24"/>
          <w:szCs w:val="24"/>
        </w:rPr>
        <w:t>Ի</w:t>
      </w:r>
      <w:r w:rsidR="00B33C05" w:rsidRPr="00B33C05">
        <w:rPr>
          <w:rFonts w:ascii="GHEA Grapalat" w:hAnsi="GHEA Grapalat"/>
          <w:b/>
          <w:bCs/>
          <w:sz w:val="24"/>
          <w:szCs w:val="24"/>
        </w:rPr>
        <w:t xml:space="preserve"> N 642-Ն ՈՐՈՇ</w:t>
      </w:r>
      <w:r w:rsidR="00B33C05">
        <w:rPr>
          <w:rFonts w:ascii="GHEA Grapalat" w:hAnsi="GHEA Grapalat"/>
          <w:b/>
          <w:bCs/>
          <w:sz w:val="24"/>
          <w:szCs w:val="24"/>
        </w:rPr>
        <w:t>ՈՒՄՆ ՈՒԺԸ ԿՈՐՑՐԱԾ ՃԱՆԱՉԵԼՈՒ ՄԱՍԻՆ</w:t>
      </w:r>
    </w:p>
    <w:p w14:paraId="3F172C8A" w14:textId="670247B1" w:rsidR="00A222AA" w:rsidRDefault="00A222AA" w:rsidP="00A222AA">
      <w:pPr>
        <w:spacing w:after="0" w:line="360" w:lineRule="auto"/>
        <w:rPr>
          <w:rFonts w:ascii="GHEA Grapalat" w:hAnsi="GHEA Grapalat"/>
          <w:b/>
          <w:bCs/>
          <w:sz w:val="24"/>
          <w:szCs w:val="24"/>
        </w:rPr>
      </w:pPr>
    </w:p>
    <w:p w14:paraId="7DCC27F9" w14:textId="2E30106A" w:rsidR="00A222AA" w:rsidRDefault="00A222AA" w:rsidP="00A222AA">
      <w:pPr>
        <w:spacing w:after="0" w:line="360" w:lineRule="auto"/>
        <w:ind w:firstLine="567"/>
        <w:jc w:val="both"/>
        <w:rPr>
          <w:b/>
          <w:bCs/>
        </w:rPr>
      </w:pPr>
      <w:r>
        <w:rPr>
          <w:rFonts w:ascii="GHEA Grapalat" w:hAnsi="GHEA Grapalat"/>
          <w:b/>
          <w:bCs/>
          <w:sz w:val="24"/>
          <w:szCs w:val="24"/>
        </w:rPr>
        <w:tab/>
      </w:r>
      <w:r w:rsidRPr="008B5881">
        <w:rPr>
          <w:rFonts w:ascii="GHEA Grapalat" w:eastAsia="Times New Roman" w:hAnsi="GHEA Grapalat" w:cs="Arial"/>
          <w:sz w:val="24"/>
          <w:szCs w:val="24"/>
        </w:rPr>
        <w:t xml:space="preserve">Հիմք ընդունելով </w:t>
      </w:r>
      <w:r w:rsidRPr="00E918E8">
        <w:rPr>
          <w:rFonts w:ascii="GHEA Grapalat" w:hAnsi="GHEA Grapalat"/>
          <w:sz w:val="24"/>
          <w:szCs w:val="24"/>
        </w:rPr>
        <w:t>«</w:t>
      </w:r>
      <w:r w:rsidRPr="00CD138F">
        <w:rPr>
          <w:rFonts w:ascii="GHEA Grapalat" w:hAnsi="GHEA Grapalat"/>
          <w:sz w:val="24"/>
          <w:szCs w:val="24"/>
        </w:rPr>
        <w:t xml:space="preserve">Դեղերի մասին» օրենքի </w:t>
      </w:r>
      <w:r w:rsidR="005005BE" w:rsidRPr="00CD138F">
        <w:rPr>
          <w:rFonts w:ascii="GHEA Grapalat" w:hAnsi="GHEA Grapalat"/>
          <w:sz w:val="24"/>
          <w:szCs w:val="24"/>
          <w:shd w:val="clear" w:color="auto" w:fill="FFFFFF"/>
        </w:rPr>
        <w:t>3-րդ հոդվածի</w:t>
      </w:r>
      <w:r w:rsidR="005005BE" w:rsidRPr="00CD138F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5005BE" w:rsidRPr="00CD138F">
        <w:rPr>
          <w:rFonts w:ascii="GHEA Grapalat" w:hAnsi="GHEA Grapalat" w:cs="Calibri"/>
          <w:sz w:val="24"/>
          <w:szCs w:val="24"/>
          <w:shd w:val="clear" w:color="auto" w:fill="FFFFFF"/>
        </w:rPr>
        <w:t>1-ին մասի</w:t>
      </w:r>
      <w:r w:rsidR="00CD138F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="005005BE" w:rsidRPr="00CD138F">
        <w:rPr>
          <w:rFonts w:ascii="GHEA Grapalat" w:hAnsi="GHEA Grapalat" w:cs="Calibri"/>
          <w:sz w:val="24"/>
          <w:szCs w:val="24"/>
          <w:shd w:val="clear" w:color="auto" w:fill="FFFFFF"/>
        </w:rPr>
        <w:t xml:space="preserve">64-րդ կետը, </w:t>
      </w:r>
      <w:r w:rsidRPr="00CD138F">
        <w:rPr>
          <w:rFonts w:ascii="GHEA Grapalat" w:hAnsi="GHEA Grapalat"/>
          <w:sz w:val="24"/>
          <w:szCs w:val="24"/>
        </w:rPr>
        <w:t>10-րդ հոդվածը</w:t>
      </w:r>
      <w:r w:rsidR="00AB1E3B" w:rsidRPr="00CD138F">
        <w:rPr>
          <w:rFonts w:ascii="GHEA Grapalat" w:hAnsi="GHEA Grapalat"/>
          <w:sz w:val="24"/>
          <w:szCs w:val="24"/>
        </w:rPr>
        <w:t>,</w:t>
      </w:r>
      <w:r w:rsidR="00CD138F" w:rsidRPr="00CD138F">
        <w:rPr>
          <w:rFonts w:ascii="GHEA Grapalat" w:hAnsi="GHEA Grapalat"/>
          <w:sz w:val="24"/>
          <w:szCs w:val="24"/>
        </w:rPr>
        <w:t xml:space="preserve"> 11-րդ հոդվածի 7-րդ մասը,</w:t>
      </w:r>
      <w:r w:rsidR="00CD138F">
        <w:rPr>
          <w:rFonts w:ascii="GHEA Grapalat" w:hAnsi="GHEA Grapalat"/>
          <w:sz w:val="24"/>
          <w:szCs w:val="24"/>
        </w:rPr>
        <w:t xml:space="preserve"> </w:t>
      </w:r>
      <w:r w:rsidRPr="00CD138F">
        <w:rPr>
          <w:rFonts w:ascii="GHEA Grapalat" w:eastAsia="GHEA Grapalat" w:hAnsi="GHEA Grapalat" w:cs="GHEA Grapalat"/>
          <w:sz w:val="24"/>
          <w:szCs w:val="24"/>
        </w:rPr>
        <w:t>«Առողջության համընդհանուր ապահովագրության մասին» օրենքի</w:t>
      </w:r>
      <w:r w:rsidR="00CD138F" w:rsidRPr="00CD138F">
        <w:rPr>
          <w:rFonts w:ascii="GHEA Grapalat" w:eastAsia="GHEA Grapalat" w:hAnsi="GHEA Grapalat" w:cs="GHEA Grapalat"/>
          <w:sz w:val="24"/>
          <w:szCs w:val="24"/>
        </w:rPr>
        <w:t xml:space="preserve"> 7-րդ հոդվածի 2-րդ մասը, </w:t>
      </w:r>
      <w:r w:rsidRPr="00CD138F">
        <w:rPr>
          <w:rFonts w:ascii="GHEA Grapalat" w:eastAsia="GHEA Grapalat" w:hAnsi="GHEA Grapalat" w:cs="GHEA Grapalat"/>
          <w:sz w:val="24"/>
          <w:szCs w:val="24"/>
        </w:rPr>
        <w:t xml:space="preserve">10-րդ հոդվածի 1-ին </w:t>
      </w:r>
      <w:r w:rsidR="00CD138F" w:rsidRPr="00CD138F">
        <w:rPr>
          <w:rFonts w:ascii="GHEA Grapalat" w:eastAsia="GHEA Grapalat" w:hAnsi="GHEA Grapalat" w:cs="GHEA Grapalat"/>
          <w:sz w:val="24"/>
          <w:szCs w:val="24"/>
        </w:rPr>
        <w:t xml:space="preserve">և 2-րդ </w:t>
      </w:r>
      <w:r w:rsidRPr="00CD138F">
        <w:rPr>
          <w:rFonts w:ascii="GHEA Grapalat" w:eastAsia="GHEA Grapalat" w:hAnsi="GHEA Grapalat" w:cs="GHEA Grapalat"/>
          <w:sz w:val="24"/>
          <w:szCs w:val="24"/>
        </w:rPr>
        <w:t>մաս</w:t>
      </w:r>
      <w:r w:rsidR="00CD138F" w:rsidRPr="00CD138F">
        <w:rPr>
          <w:rFonts w:ascii="GHEA Grapalat" w:eastAsia="GHEA Grapalat" w:hAnsi="GHEA Grapalat" w:cs="GHEA Grapalat"/>
          <w:sz w:val="24"/>
          <w:szCs w:val="24"/>
        </w:rPr>
        <w:t>եր</w:t>
      </w:r>
      <w:r w:rsidRPr="00CD138F">
        <w:rPr>
          <w:rFonts w:ascii="GHEA Grapalat" w:eastAsia="GHEA Grapalat" w:hAnsi="GHEA Grapalat" w:cs="GHEA Grapalat"/>
          <w:sz w:val="24"/>
          <w:szCs w:val="24"/>
        </w:rPr>
        <w:t>ը</w:t>
      </w:r>
      <w:r w:rsidR="00AB1E3B">
        <w:rPr>
          <w:rFonts w:ascii="GHEA Grapalat" w:eastAsia="GHEA Grapalat" w:hAnsi="GHEA Grapalat" w:cs="GHEA Grapalat"/>
          <w:sz w:val="24"/>
          <w:szCs w:val="24"/>
        </w:rPr>
        <w:t xml:space="preserve"> և «Նորմատիվ իրավական ակտերի մասին» օրենքի</w:t>
      </w:r>
      <w:r w:rsidR="00CD138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33C05">
        <w:rPr>
          <w:rFonts w:ascii="GHEA Grapalat" w:eastAsia="GHEA Grapalat" w:hAnsi="GHEA Grapalat" w:cs="GHEA Grapalat"/>
          <w:sz w:val="24"/>
          <w:szCs w:val="24"/>
        </w:rPr>
        <w:t>37-րդ</w:t>
      </w:r>
      <w:r w:rsidR="00AB1E3B">
        <w:rPr>
          <w:rFonts w:ascii="GHEA Grapalat" w:eastAsia="GHEA Grapalat" w:hAnsi="GHEA Grapalat" w:cs="GHEA Grapalat"/>
          <w:sz w:val="24"/>
          <w:szCs w:val="24"/>
        </w:rPr>
        <w:t xml:space="preserve"> հոդված</w:t>
      </w:r>
      <w:r w:rsidR="00B33C05">
        <w:rPr>
          <w:rFonts w:ascii="GHEA Grapalat" w:eastAsia="GHEA Grapalat" w:hAnsi="GHEA Grapalat" w:cs="GHEA Grapalat"/>
          <w:sz w:val="24"/>
          <w:szCs w:val="24"/>
        </w:rPr>
        <w:t>ի 1-ին մասը</w:t>
      </w:r>
      <w:r>
        <w:rPr>
          <w:rFonts w:ascii="GHEA Grapalat" w:eastAsia="GHEA Grapalat" w:hAnsi="GHEA Grapalat" w:cs="GHEA Grapalat"/>
          <w:sz w:val="24"/>
          <w:szCs w:val="24"/>
        </w:rPr>
        <w:t>` Հայաստանի Հանրապետության կառավարությունը</w:t>
      </w:r>
      <w:r>
        <w:rPr>
          <w:sz w:val="24"/>
          <w:szCs w:val="24"/>
        </w:rPr>
        <w:t> </w:t>
      </w:r>
      <w:r w:rsidRPr="007767F4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որոշում է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14:paraId="00DC7DE2" w14:textId="77777777" w:rsidR="007A6EDD" w:rsidRDefault="00A222AA" w:rsidP="00A222AA">
      <w:pPr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ab/>
      </w:r>
      <w:r w:rsidRPr="00A222AA">
        <w:rPr>
          <w:rFonts w:ascii="GHEA Grapalat" w:hAnsi="GHEA Grapalat"/>
          <w:sz w:val="24"/>
          <w:szCs w:val="24"/>
        </w:rPr>
        <w:t>1.</w:t>
      </w:r>
      <w:r w:rsidR="007A6EDD">
        <w:rPr>
          <w:rFonts w:ascii="GHEA Grapalat" w:hAnsi="GHEA Grapalat"/>
          <w:sz w:val="24"/>
          <w:szCs w:val="24"/>
        </w:rPr>
        <w:t xml:space="preserve"> Հաստատել. </w:t>
      </w:r>
    </w:p>
    <w:p w14:paraId="09ACA9AC" w14:textId="6B1E34CD" w:rsidR="00A222AA" w:rsidRPr="00A222AA" w:rsidRDefault="00A222AA" w:rsidP="00907CF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222AA">
        <w:rPr>
          <w:rFonts w:ascii="GHEA Grapalat" w:hAnsi="GHEA Grapalat"/>
          <w:sz w:val="24"/>
          <w:szCs w:val="24"/>
        </w:rPr>
        <w:t>1) բնակչության սոցիալական կամ հատուկ խմբերի ցանկը, որում ընդգրկված շահառուներին դեղերը հատկացվում են դրանց արժեքի լրիվ կամ մասնակի փոխհատուցմամբ՝ համաձայն N 1 հավելվածի.</w:t>
      </w:r>
    </w:p>
    <w:p w14:paraId="566BD58E" w14:textId="5BDD67ED" w:rsidR="00A222AA" w:rsidRPr="00A222AA" w:rsidRDefault="00A222AA" w:rsidP="00907CF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222AA">
        <w:rPr>
          <w:rFonts w:ascii="GHEA Grapalat" w:hAnsi="GHEA Grapalat"/>
          <w:sz w:val="24"/>
          <w:szCs w:val="24"/>
        </w:rPr>
        <w:t>2) հիվանդությունների ցանկը, որոնց դեպքում դեղերը շահառուներին հատկացվում են դրանց արժեքի լրիվ փոխհատուցմամբ՝ համաձայն N 2 հավելվածի.</w:t>
      </w:r>
    </w:p>
    <w:p w14:paraId="01EC9277" w14:textId="6F4F4764" w:rsidR="00A222AA" w:rsidRPr="00A222AA" w:rsidRDefault="00A222AA" w:rsidP="00AB1E3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222AA">
        <w:rPr>
          <w:rFonts w:ascii="GHEA Grapalat" w:hAnsi="GHEA Grapalat"/>
          <w:sz w:val="24"/>
          <w:szCs w:val="24"/>
        </w:rPr>
        <w:t xml:space="preserve">3) բնակչության սոցիալական կամ հատուկ խմբերի և հիվանդությունների ցանկերում ընդգրկված շահառուներին, Հայաստանի Հանրապետության պետական բյուջեի միջոցների հաշվին Հայաստանի Հանրապետության առողջապահության նախարարության, ինչպես նաև առողջության առաջնային պահպանման </w:t>
      </w:r>
      <w:r w:rsidRPr="00A222AA">
        <w:rPr>
          <w:rFonts w:ascii="GHEA Grapalat" w:hAnsi="GHEA Grapalat"/>
          <w:sz w:val="24"/>
          <w:szCs w:val="24"/>
        </w:rPr>
        <w:lastRenderedPageBreak/>
        <w:t>ծառայություններ մատուցող բժշկական կազմակերպությունների միջոցով դեղերի հատկացման և փոխհատուցման կարգը՝ համաձայն N 3 հավելվածի.</w:t>
      </w:r>
    </w:p>
    <w:p w14:paraId="415942C7" w14:textId="2D5E8927" w:rsidR="00A222AA" w:rsidRDefault="00A222AA" w:rsidP="00AB1E3B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A222AA">
        <w:rPr>
          <w:rFonts w:ascii="GHEA Grapalat" w:hAnsi="GHEA Grapalat"/>
          <w:sz w:val="24"/>
          <w:szCs w:val="24"/>
        </w:rPr>
        <w:t xml:space="preserve">4) </w:t>
      </w:r>
      <w:r w:rsidR="00CD0CA4" w:rsidRPr="00A222AA">
        <w:rPr>
          <w:rFonts w:ascii="GHEA Grapalat" w:hAnsi="GHEA Grapalat"/>
          <w:sz w:val="24"/>
          <w:szCs w:val="24"/>
        </w:rPr>
        <w:t>բնակչության սոցիալական կամ հատուկ խմբերի</w:t>
      </w:r>
      <w:r w:rsidR="00CD0CA4">
        <w:rPr>
          <w:rFonts w:ascii="GHEA Grapalat" w:hAnsi="GHEA Grapalat"/>
          <w:sz w:val="24"/>
          <w:szCs w:val="24"/>
        </w:rPr>
        <w:t xml:space="preserve"> </w:t>
      </w:r>
      <w:r w:rsidR="00CD0CA4" w:rsidRPr="00A222AA">
        <w:rPr>
          <w:rFonts w:ascii="GHEA Grapalat" w:hAnsi="GHEA Grapalat"/>
          <w:sz w:val="24"/>
          <w:szCs w:val="24"/>
        </w:rPr>
        <w:t>ցանկերում ընդգրկված շահառուներին</w:t>
      </w:r>
      <w:r w:rsidR="00CD0CA4" w:rsidRPr="00D34D99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AB1E3B" w:rsidRPr="00D34D99">
        <w:rPr>
          <w:rStyle w:val="Strong"/>
          <w:rFonts w:ascii="GHEA Grapalat" w:hAnsi="GHEA Grapalat"/>
          <w:b w:val="0"/>
          <w:bCs w:val="0"/>
          <w:sz w:val="24"/>
          <w:szCs w:val="24"/>
        </w:rPr>
        <w:t>պետության կողմից երաշխավորված անվճար և արտոնյալ պայմաններով հրապարակային օֆերտայի պայմանագրի շրջանակում</w:t>
      </w:r>
      <w:r w:rsidR="00CD0CA4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AB1E3B" w:rsidRPr="00D34D99">
        <w:rPr>
          <w:rStyle w:val="Strong"/>
          <w:rFonts w:ascii="GHEA Grapalat" w:hAnsi="GHEA Grapalat"/>
          <w:b w:val="0"/>
          <w:bCs w:val="0"/>
          <w:sz w:val="24"/>
          <w:szCs w:val="24"/>
        </w:rPr>
        <w:t>տրամադրվող դեղերի փոխհատուցման</w:t>
      </w:r>
      <w:r w:rsidR="002A0708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AB1E3B" w:rsidRPr="00D34D99">
        <w:rPr>
          <w:rStyle w:val="Strong"/>
          <w:rFonts w:ascii="GHEA Grapalat" w:hAnsi="GHEA Grapalat"/>
          <w:b w:val="0"/>
          <w:bCs w:val="0"/>
          <w:sz w:val="24"/>
          <w:szCs w:val="24"/>
        </w:rPr>
        <w:t>կարգը</w:t>
      </w:r>
      <w:r w:rsidR="00AB1E3B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` համաձայն </w:t>
      </w:r>
      <w:r w:rsidR="00AB1E3B" w:rsidRPr="00CD497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N 4 </w:t>
      </w:r>
      <w:r w:rsidR="00AB1E3B">
        <w:rPr>
          <w:rStyle w:val="Strong"/>
          <w:rFonts w:ascii="GHEA Grapalat" w:hAnsi="GHEA Grapalat"/>
          <w:b w:val="0"/>
          <w:bCs w:val="0"/>
          <w:sz w:val="24"/>
          <w:szCs w:val="24"/>
        </w:rPr>
        <w:t>հավելվածի.</w:t>
      </w:r>
    </w:p>
    <w:p w14:paraId="02060A44" w14:textId="77777777" w:rsidR="005005BE" w:rsidRPr="00D75165" w:rsidRDefault="00AB1E3B" w:rsidP="00AB1E3B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</w:rPr>
        <w:t>5</w:t>
      </w:r>
      <w:r w:rsidRPr="00AB1E3B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առողջության համընդհանուր ապահովագրության շրջանակներում ապահովագրական փաթեթում ներառված դեղերի ծախսերի</w:t>
      </w:r>
      <w:r w:rsidR="00AA3790" w:rsidRPr="00AA379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հատուցման կարգը՝ </w:t>
      </w:r>
      <w:r w:rsidRPr="00D75165">
        <w:rPr>
          <w:rFonts w:ascii="GHEA Grapalat" w:eastAsia="GHEA Grapalat" w:hAnsi="GHEA Grapalat" w:cs="GHEA Grapalat"/>
          <w:sz w:val="24"/>
          <w:szCs w:val="24"/>
        </w:rPr>
        <w:t xml:space="preserve">համաձայն </w:t>
      </w: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N 5 հավելվածի</w:t>
      </w:r>
      <w:r w:rsidR="005005BE"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.</w:t>
      </w:r>
    </w:p>
    <w:p w14:paraId="00885D75" w14:textId="7335BAE1" w:rsidR="00AB1E3B" w:rsidRDefault="005005BE" w:rsidP="00AB1E3B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6) </w:t>
      </w:r>
      <w:r w:rsid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ա</w:t>
      </w:r>
      <w:r w:rsidR="00CD138F"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պահովագրական փաթեթում </w:t>
      </w: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ներառված</w:t>
      </w:r>
      <w:r w:rsid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հատուցման ենթակա </w:t>
      </w:r>
      <w:r w:rsidR="00D75165"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(</w:t>
      </w:r>
      <w:r w:rsid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այդ թվում` համավճարով</w:t>
      </w:r>
      <w:r w:rsidR="00D75165"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)</w:t>
      </w: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դեղերի ցանկը` </w:t>
      </w:r>
      <w:r w:rsidRPr="00D75165">
        <w:rPr>
          <w:rFonts w:ascii="GHEA Grapalat" w:eastAsia="GHEA Grapalat" w:hAnsi="GHEA Grapalat" w:cs="GHEA Grapalat"/>
          <w:sz w:val="24"/>
          <w:szCs w:val="24"/>
        </w:rPr>
        <w:t xml:space="preserve">համաձայն </w:t>
      </w: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N </w:t>
      </w:r>
      <w:r w:rsid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6</w:t>
      </w:r>
      <w:r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հավելվածի</w:t>
      </w:r>
      <w:r w:rsidR="00AB1E3B" w:rsidRPr="00D75165">
        <w:rPr>
          <w:rStyle w:val="Strong"/>
          <w:rFonts w:ascii="GHEA Grapalat" w:hAnsi="GHEA Grapalat"/>
          <w:b w:val="0"/>
          <w:bCs w:val="0"/>
          <w:sz w:val="24"/>
          <w:szCs w:val="24"/>
        </w:rPr>
        <w:t>:</w:t>
      </w:r>
      <w:r w:rsidR="00B33C05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</w:p>
    <w:p w14:paraId="5D38645C" w14:textId="1FC2FC8B" w:rsidR="00AB1E3B" w:rsidRPr="00AB1E3B" w:rsidRDefault="00AB1E3B" w:rsidP="00AB1E3B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9F153B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2. </w:t>
      </w:r>
      <w:r w:rsidRPr="00AB1E3B">
        <w:rPr>
          <w:rFonts w:ascii="GHEA Grapalat" w:hAnsi="GHEA Grapalat"/>
          <w:sz w:val="24"/>
          <w:szCs w:val="24"/>
        </w:rPr>
        <w:t>Սահմանել, որ մինչև 2023 թվականի դեկտեմբերի 31-ը հաշմանդամություն ունեցող անձին տրված տեղեկանքները (վարչական ակտերը) հիմք են հանդիսանում սույն որոշմամբ սահմանված դեղեր ստանալու համար: Այս դեպքում՝</w:t>
      </w:r>
    </w:p>
    <w:p w14:paraId="5A15D439" w14:textId="204DE16E" w:rsidR="00AB1E3B" w:rsidRPr="00AB1E3B" w:rsidRDefault="00AB1E3B" w:rsidP="00AB1E3B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AB1E3B">
        <w:rPr>
          <w:rFonts w:ascii="GHEA Grapalat" w:hAnsi="GHEA Grapalat"/>
          <w:sz w:val="24"/>
          <w:szCs w:val="24"/>
        </w:rPr>
        <w:t>1) բժշկասոցիալական փորձաքննություն իրականացնող իրավասու պետական մարմնի որոշմամբ անձի «1-ին խմբի հաշմանդամ անձ» կարգավիճակը հավասարեցվում է անձի ֆունկցիոնալությունը գնահատող հանձնաժողովի որոշմամբ սահմանված «ֆունկցիոնալության խորն աստիճանի սահմանափակումով հաշմանդամություն ունեցող անձ» կարգավիճակին.</w:t>
      </w:r>
    </w:p>
    <w:p w14:paraId="23EDAE74" w14:textId="66CDF128" w:rsidR="00AB1E3B" w:rsidRPr="00AB1E3B" w:rsidRDefault="00AB1E3B" w:rsidP="00AB1E3B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AB1E3B">
        <w:rPr>
          <w:rFonts w:ascii="GHEA Grapalat" w:hAnsi="GHEA Grapalat"/>
          <w:sz w:val="24"/>
          <w:szCs w:val="24"/>
        </w:rPr>
        <w:t>2) բժշկասոցիալական փորձաքննություն իրականացնող իրավասու պետական մարմնի որոշմամբ անձի «2-րդ խմբի հաշմանդամ անձ» կարգավիճակը հավասարեցվում է անձի ֆունկցիոնալությունը գնահատող հանձնաժողովի որոշմամբ սահմանված «ֆունկցիոնալության ծանր աստիճանի սահմանափակումով հաշմանդամություն ունեցող անձ» կարգավիճակին.</w:t>
      </w:r>
    </w:p>
    <w:p w14:paraId="72AA5FDD" w14:textId="05A96E37" w:rsidR="00AB1E3B" w:rsidRPr="00AB1E3B" w:rsidRDefault="00AB1E3B" w:rsidP="00AB1E3B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AB1E3B">
        <w:rPr>
          <w:rFonts w:ascii="GHEA Grapalat" w:hAnsi="GHEA Grapalat"/>
          <w:sz w:val="24"/>
          <w:szCs w:val="24"/>
        </w:rPr>
        <w:t>3) բժշկասոցիալական փորձաքննություն իրականացնող իրավասու պետական մարմնի որոշմամբ անձի «3-րդ խմբի հաշմանդամ անձ» կարգավիճակը հավասարեցվում է անձի ֆունկցիոնալությունը գնահատող հանձնաժողովի որոշմամբ սահմանված «ֆունկցիոնալության միջին աստիճանի սահմանափակումով հաշմանդամություն ունեցող անձ» կարգավիճակին:</w:t>
      </w:r>
    </w:p>
    <w:p w14:paraId="1F90ACF5" w14:textId="273A2645" w:rsidR="003E11F7" w:rsidRPr="00B065B3" w:rsidRDefault="00AB1E3B" w:rsidP="003E11F7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3. </w:t>
      </w:r>
      <w:bookmarkStart w:id="0" w:name="_Hlk216806509"/>
      <w:r w:rsidR="00A35D74" w:rsidRPr="00A35D74">
        <w:rPr>
          <w:rFonts w:ascii="GHEA Grapalat" w:eastAsia="Times New Roman" w:hAnsi="GHEA Grapalat" w:cs="Arial"/>
          <w:sz w:val="24"/>
          <w:szCs w:val="24"/>
        </w:rPr>
        <w:t>Հայաստանի Հանրապետության կառավարության 2019 թվականի մայիսի 30-ի</w:t>
      </w:r>
      <w:r w:rsidR="00A35D74" w:rsidRPr="00A35D74">
        <w:rPr>
          <w:rFonts w:ascii="GHEA Grapalat" w:hAnsi="GHEA Grapalat"/>
          <w:sz w:val="24"/>
          <w:szCs w:val="24"/>
        </w:rPr>
        <w:t xml:space="preserve"> «Բնակչության սոցիալական կամ հատուկ խմբերի և այն հիվանդությունների </w:t>
      </w:r>
      <w:r w:rsidR="00A35D74" w:rsidRPr="00A35D74">
        <w:rPr>
          <w:rFonts w:ascii="GHEA Grapalat" w:hAnsi="GHEA Grapalat"/>
          <w:sz w:val="24"/>
          <w:szCs w:val="24"/>
        </w:rPr>
        <w:lastRenderedPageBreak/>
        <w:t>ցանկերը, որոնց դեպքում դեղերը շահառուներին հատկացվում և դրանց արժեքի լրիվ կամ մասնակի փոխհատուցմամբ, ինչպես նաև այդ բնակչության սոցիալական կամ հատուկ խմբերի ցանկում ընդգրկված շահառուներին Հայաստանի Հանրապետության առողջապահության 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23-ի N 1717-Ն որոշումն ուժ</w:t>
      </w:r>
      <w:r w:rsidR="00B065B3">
        <w:rPr>
          <w:rFonts w:ascii="GHEA Grapalat" w:hAnsi="GHEA Grapalat"/>
          <w:sz w:val="24"/>
          <w:szCs w:val="24"/>
        </w:rPr>
        <w:t>ն</w:t>
      </w:r>
      <w:r w:rsidR="00A35D74" w:rsidRPr="00A35D74">
        <w:rPr>
          <w:rFonts w:ascii="GHEA Grapalat" w:hAnsi="GHEA Grapalat"/>
          <w:sz w:val="24"/>
          <w:szCs w:val="24"/>
        </w:rPr>
        <w:t xml:space="preserve"> կորցրած ճանաչելու </w:t>
      </w:r>
      <w:r w:rsidR="00A35D74" w:rsidRPr="00B065B3">
        <w:rPr>
          <w:rFonts w:ascii="GHEA Grapalat" w:hAnsi="GHEA Grapalat"/>
          <w:sz w:val="24"/>
          <w:szCs w:val="24"/>
        </w:rPr>
        <w:t xml:space="preserve">մասին» </w:t>
      </w:r>
      <w:r w:rsidR="00A35D74" w:rsidRPr="00B065B3">
        <w:rPr>
          <w:rFonts w:ascii="GHEA Grapalat" w:eastAsia="Times New Roman" w:hAnsi="GHEA Grapalat" w:cs="Arial"/>
          <w:color w:val="000000" w:themeColor="text1"/>
          <w:sz w:val="24"/>
          <w:szCs w:val="24"/>
        </w:rPr>
        <w:t>N 642-Ն որոշ</w:t>
      </w:r>
      <w:bookmarkEnd w:id="0"/>
      <w:r w:rsidR="009659DA">
        <w:rPr>
          <w:rFonts w:ascii="GHEA Grapalat" w:eastAsia="Times New Roman" w:hAnsi="GHEA Grapalat" w:cs="Arial"/>
          <w:color w:val="000000" w:themeColor="text1"/>
          <w:sz w:val="24"/>
          <w:szCs w:val="24"/>
        </w:rPr>
        <w:t>ումն</w:t>
      </w:r>
      <w:r w:rsidR="00B065B3" w:rsidRPr="00B065B3">
        <w:rPr>
          <w:rFonts w:ascii="GHEA Grapalat" w:hAnsi="GHEA Grapalat"/>
          <w:sz w:val="24"/>
          <w:szCs w:val="24"/>
        </w:rPr>
        <w:t xml:space="preserve"> </w:t>
      </w:r>
      <w:r w:rsidR="00B33C05" w:rsidRPr="00B065B3">
        <w:rPr>
          <w:rFonts w:ascii="GHEA Grapalat" w:eastAsia="Times New Roman" w:hAnsi="GHEA Grapalat" w:cs="Arial"/>
          <w:color w:val="000000" w:themeColor="text1"/>
          <w:sz w:val="24"/>
          <w:szCs w:val="24"/>
        </w:rPr>
        <w:t>ուժը կորցրած ճանաչել</w:t>
      </w:r>
      <w:r w:rsidRPr="00B065B3">
        <w:rPr>
          <w:rFonts w:ascii="GHEA Grapalat" w:eastAsia="Times New Roman" w:hAnsi="GHEA Grapalat" w:cs="Arial"/>
          <w:color w:val="000000" w:themeColor="text1"/>
          <w:sz w:val="24"/>
          <w:szCs w:val="24"/>
        </w:rPr>
        <w:t>:</w:t>
      </w:r>
    </w:p>
    <w:p w14:paraId="6EA8DBBF" w14:textId="577A46B8" w:rsidR="003E11F7" w:rsidRDefault="00AA3790" w:rsidP="003E11F7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AA3790">
        <w:rPr>
          <w:rFonts w:ascii="GHEA Grapalat" w:hAnsi="GHEA Grapalat"/>
          <w:sz w:val="24"/>
          <w:szCs w:val="24"/>
        </w:rPr>
        <w:t>4</w:t>
      </w:r>
      <w:r w:rsidR="004474F3" w:rsidRPr="00DE7E2E">
        <w:rPr>
          <w:rFonts w:ascii="GHEA Grapalat" w:hAnsi="GHEA Grapalat"/>
          <w:sz w:val="24"/>
          <w:szCs w:val="24"/>
        </w:rPr>
        <w:t>. Հայաստանի Հանրապետության պետական եկամուտների կոմիտեի նախագահին՝</w:t>
      </w:r>
      <w:r w:rsidR="00D06296" w:rsidRPr="00DE7E2E">
        <w:rPr>
          <w:rFonts w:ascii="GHEA Grapalat" w:hAnsi="GHEA Grapalat"/>
          <w:sz w:val="24"/>
          <w:szCs w:val="24"/>
        </w:rPr>
        <w:t xml:space="preserve"> </w:t>
      </w:r>
      <w:r w:rsidR="004474F3" w:rsidRPr="00DE7E2E">
        <w:rPr>
          <w:rFonts w:ascii="GHEA Grapalat" w:hAnsi="GHEA Grapalat"/>
          <w:sz w:val="24"/>
          <w:szCs w:val="24"/>
        </w:rPr>
        <w:t>սույն որոշման</w:t>
      </w:r>
      <w:r w:rsidR="002A0708">
        <w:rPr>
          <w:rFonts w:ascii="GHEA Grapalat" w:hAnsi="GHEA Grapalat"/>
          <w:sz w:val="24"/>
          <w:szCs w:val="24"/>
        </w:rPr>
        <w:t xml:space="preserve"> </w:t>
      </w:r>
      <w:r w:rsidR="004474F3" w:rsidRPr="00DE7E2E">
        <w:rPr>
          <w:rFonts w:ascii="GHEA Grapalat" w:hAnsi="GHEA Grapalat"/>
          <w:sz w:val="24"/>
          <w:szCs w:val="24"/>
        </w:rPr>
        <w:t xml:space="preserve">N </w:t>
      </w:r>
      <w:r w:rsidR="00CB3213" w:rsidRPr="00DE7E2E">
        <w:rPr>
          <w:rFonts w:ascii="GHEA Grapalat" w:hAnsi="GHEA Grapalat"/>
          <w:sz w:val="24"/>
          <w:szCs w:val="24"/>
        </w:rPr>
        <w:t>4</w:t>
      </w:r>
      <w:r w:rsidR="004474F3" w:rsidRPr="00DE7E2E">
        <w:rPr>
          <w:rFonts w:ascii="GHEA Grapalat" w:hAnsi="GHEA Grapalat"/>
          <w:sz w:val="24"/>
          <w:szCs w:val="24"/>
        </w:rPr>
        <w:t xml:space="preserve"> հավելվածի 8-րդ կետի 4-րդ</w:t>
      </w:r>
      <w:r w:rsidR="00DE7E2E" w:rsidRPr="00DE7E2E">
        <w:rPr>
          <w:rFonts w:ascii="GHEA Grapalat" w:hAnsi="GHEA Grapalat"/>
          <w:sz w:val="24"/>
          <w:szCs w:val="24"/>
        </w:rPr>
        <w:t xml:space="preserve"> և</w:t>
      </w:r>
      <w:r w:rsidR="004474F3" w:rsidRPr="00DE7E2E">
        <w:rPr>
          <w:rFonts w:ascii="GHEA Grapalat" w:hAnsi="GHEA Grapalat"/>
          <w:sz w:val="24"/>
          <w:szCs w:val="24"/>
        </w:rPr>
        <w:t xml:space="preserve"> </w:t>
      </w:r>
      <w:r w:rsidR="00DE7E2E" w:rsidRPr="00DE7E2E">
        <w:rPr>
          <w:rFonts w:ascii="GHEA Grapalat" w:hAnsi="GHEA Grapalat"/>
          <w:sz w:val="24"/>
          <w:szCs w:val="24"/>
        </w:rPr>
        <w:t xml:space="preserve">N 5 հավելվածի 8-րդ կետի 4-րդ </w:t>
      </w:r>
      <w:r w:rsidR="004474F3" w:rsidRPr="00842069">
        <w:rPr>
          <w:rFonts w:ascii="GHEA Grapalat" w:hAnsi="GHEA Grapalat"/>
          <w:sz w:val="24"/>
          <w:szCs w:val="24"/>
        </w:rPr>
        <w:t>պարբերության շահութաբերության գործակիցը (ՇԳ) հաշվարկելու համար անհրաժեշտ տվյալները տրամադրել Առողջապահության նախարարությանը՝ մինչև յուրաքանչյուր տարվա մայիսի 20-ը։</w:t>
      </w:r>
    </w:p>
    <w:p w14:paraId="6189F0B3" w14:textId="60DDC64E" w:rsidR="003E11F7" w:rsidRPr="0039753A" w:rsidRDefault="003E11F7" w:rsidP="003E11F7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4474F3" w:rsidRPr="004474F3">
        <w:rPr>
          <w:rFonts w:ascii="GHEA Grapalat" w:hAnsi="GHEA Grapalat"/>
          <w:sz w:val="24"/>
          <w:szCs w:val="24"/>
        </w:rPr>
        <w:t>.</w:t>
      </w:r>
      <w:r w:rsidR="00D06296">
        <w:rPr>
          <w:rFonts w:ascii="GHEA Grapalat" w:hAnsi="GHEA Grapalat"/>
          <w:sz w:val="24"/>
          <w:szCs w:val="24"/>
        </w:rPr>
        <w:t xml:space="preserve"> </w:t>
      </w:r>
      <w:r w:rsidR="00D038EB" w:rsidRPr="0039753A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օրվանից, բացառությամբ սույն որոշման</w:t>
      </w:r>
      <w:r w:rsidR="00C976A7" w:rsidRPr="0039753A">
        <w:rPr>
          <w:rFonts w:ascii="GHEA Grapalat" w:hAnsi="GHEA Grapalat"/>
          <w:sz w:val="24"/>
          <w:szCs w:val="24"/>
        </w:rPr>
        <w:t xml:space="preserve"> </w:t>
      </w:r>
      <w:r w:rsidRPr="0039753A">
        <w:rPr>
          <w:rFonts w:ascii="GHEA Grapalat" w:hAnsi="GHEA Grapalat"/>
          <w:sz w:val="24"/>
          <w:szCs w:val="24"/>
        </w:rPr>
        <w:t>7</w:t>
      </w:r>
      <w:r w:rsidR="00C976A7" w:rsidRPr="0039753A">
        <w:rPr>
          <w:rFonts w:ascii="GHEA Grapalat" w:hAnsi="GHEA Grapalat"/>
          <w:sz w:val="24"/>
          <w:szCs w:val="24"/>
        </w:rPr>
        <w:t>-րդ կետի:</w:t>
      </w:r>
      <w:r w:rsidR="00D038EB" w:rsidRPr="0039753A">
        <w:rPr>
          <w:rFonts w:ascii="GHEA Grapalat" w:hAnsi="GHEA Grapalat"/>
          <w:sz w:val="24"/>
          <w:szCs w:val="24"/>
        </w:rPr>
        <w:t xml:space="preserve"> </w:t>
      </w:r>
    </w:p>
    <w:p w14:paraId="7C8112D7" w14:textId="4B551885" w:rsidR="009602FF" w:rsidRPr="008E0183" w:rsidRDefault="003E11F7" w:rsidP="0039753A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39753A">
        <w:rPr>
          <w:rFonts w:ascii="GHEA Grapalat" w:hAnsi="GHEA Grapalat"/>
          <w:sz w:val="24"/>
          <w:szCs w:val="24"/>
        </w:rPr>
        <w:t xml:space="preserve">7. </w:t>
      </w:r>
      <w:r w:rsidR="00C976A7" w:rsidRPr="0039753A">
        <w:rPr>
          <w:rFonts w:ascii="GHEA Grapalat" w:hAnsi="GHEA Grapalat"/>
          <w:sz w:val="24"/>
          <w:szCs w:val="24"/>
        </w:rPr>
        <w:t>Սույն որոշման</w:t>
      </w:r>
      <w:r w:rsidR="008E0183" w:rsidRPr="008E0183">
        <w:rPr>
          <w:rFonts w:ascii="GHEA Grapalat" w:hAnsi="GHEA Grapalat"/>
          <w:sz w:val="24"/>
          <w:szCs w:val="24"/>
        </w:rPr>
        <w:t>`</w:t>
      </w:r>
    </w:p>
    <w:p w14:paraId="774B53B2" w14:textId="7126AE7D" w:rsidR="00A35D74" w:rsidRPr="008F7373" w:rsidRDefault="00EE2862" w:rsidP="009659DA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8F7373">
        <w:rPr>
          <w:rFonts w:ascii="GHEA Grapalat" w:hAnsi="GHEA Grapalat"/>
          <w:sz w:val="24"/>
          <w:szCs w:val="24"/>
        </w:rPr>
        <w:t xml:space="preserve">1) </w:t>
      </w:r>
      <w:r w:rsidR="00D038EB" w:rsidRPr="008F7373">
        <w:rPr>
          <w:rFonts w:ascii="GHEA Grapalat" w:hAnsi="GHEA Grapalat"/>
          <w:sz w:val="24"/>
          <w:szCs w:val="24"/>
        </w:rPr>
        <w:t xml:space="preserve">1-ին կետի </w:t>
      </w:r>
      <w:r w:rsidR="00713095" w:rsidRPr="008F7373">
        <w:rPr>
          <w:rFonts w:ascii="GHEA Grapalat" w:hAnsi="GHEA Grapalat"/>
          <w:sz w:val="24"/>
          <w:szCs w:val="24"/>
        </w:rPr>
        <w:t>1-ին ենթակետով հաստատվող N 1 հավելված</w:t>
      </w:r>
      <w:r w:rsidR="009659DA" w:rsidRPr="008F7373">
        <w:rPr>
          <w:rFonts w:ascii="GHEA Grapalat" w:hAnsi="GHEA Grapalat"/>
          <w:sz w:val="24"/>
          <w:szCs w:val="24"/>
        </w:rPr>
        <w:t>ի 1-ին կետի 1-ին, 2-րդ,</w:t>
      </w:r>
      <w:r w:rsidR="008A3CD5">
        <w:rPr>
          <w:rFonts w:ascii="GHEA Grapalat" w:hAnsi="GHEA Grapalat"/>
          <w:sz w:val="24"/>
          <w:szCs w:val="24"/>
        </w:rPr>
        <w:t xml:space="preserve"> 3-րդ,</w:t>
      </w:r>
      <w:r w:rsidR="009659DA" w:rsidRPr="008F7373">
        <w:rPr>
          <w:rFonts w:ascii="GHEA Grapalat" w:hAnsi="GHEA Grapalat"/>
          <w:sz w:val="24"/>
          <w:szCs w:val="24"/>
        </w:rPr>
        <w:t xml:space="preserve"> 4-րդ, 5-րդ,</w:t>
      </w:r>
      <w:r w:rsidR="00CA54CB">
        <w:rPr>
          <w:rFonts w:ascii="GHEA Grapalat" w:hAnsi="GHEA Grapalat"/>
          <w:sz w:val="24"/>
          <w:szCs w:val="24"/>
        </w:rPr>
        <w:t xml:space="preserve"> 6-րդ,</w:t>
      </w:r>
      <w:r w:rsidR="009659DA" w:rsidRPr="008F7373">
        <w:rPr>
          <w:rFonts w:ascii="GHEA Grapalat" w:hAnsi="GHEA Grapalat"/>
          <w:sz w:val="24"/>
          <w:szCs w:val="24"/>
        </w:rPr>
        <w:t xml:space="preserve"> 7-րդ, 8-րդ, 9-րդ ենթակետերով, 2-րդ կետի 2-րդ, 3-րդ և 6-րդ ենթակետերով,</w:t>
      </w:r>
      <w:r w:rsidR="002A0708">
        <w:rPr>
          <w:rFonts w:ascii="GHEA Grapalat" w:hAnsi="GHEA Grapalat"/>
          <w:sz w:val="24"/>
          <w:szCs w:val="24"/>
        </w:rPr>
        <w:t xml:space="preserve"> </w:t>
      </w:r>
      <w:r w:rsidR="009659DA" w:rsidRPr="008F7373">
        <w:rPr>
          <w:rFonts w:ascii="GHEA Grapalat" w:hAnsi="GHEA Grapalat"/>
          <w:sz w:val="24"/>
          <w:szCs w:val="24"/>
        </w:rPr>
        <w:t>սահմանված շահառուների մասով դեղերի հատուցումն իրականացվելու է</w:t>
      </w:r>
      <w:r w:rsidR="00A52EC3" w:rsidRPr="008F7373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334FA" w:rsidRPr="008F7373">
        <w:rPr>
          <w:rFonts w:ascii="GHEA Grapalat" w:hAnsi="GHEA Grapalat"/>
          <w:sz w:val="24"/>
          <w:szCs w:val="24"/>
        </w:rPr>
        <w:t>«Առողջության համընդհանուր ապահովագրության մասին»</w:t>
      </w:r>
      <w:r w:rsidR="00E61DAF" w:rsidRPr="008F7373">
        <w:rPr>
          <w:rFonts w:ascii="GHEA Grapalat" w:hAnsi="GHEA Grapalat"/>
          <w:sz w:val="24"/>
          <w:szCs w:val="24"/>
        </w:rPr>
        <w:t xml:space="preserve"> օրենքի</w:t>
      </w:r>
      <w:r w:rsidR="00AA3790" w:rsidRPr="008F7373">
        <w:rPr>
          <w:rFonts w:ascii="GHEA Grapalat" w:hAnsi="GHEA Grapalat"/>
          <w:sz w:val="24"/>
          <w:szCs w:val="24"/>
        </w:rPr>
        <w:t xml:space="preserve"> 11-</w:t>
      </w:r>
      <w:r w:rsidR="002E3534" w:rsidRPr="008F7373">
        <w:rPr>
          <w:rFonts w:ascii="GHEA Grapalat" w:hAnsi="GHEA Grapalat"/>
          <w:sz w:val="24"/>
          <w:szCs w:val="24"/>
        </w:rPr>
        <w:t>րդ հոդվածի 2-րդ մաս</w:t>
      </w:r>
      <w:r w:rsidR="00496337" w:rsidRPr="008F7373">
        <w:rPr>
          <w:rFonts w:ascii="GHEA Grapalat" w:hAnsi="GHEA Grapalat"/>
          <w:sz w:val="24"/>
          <w:szCs w:val="24"/>
        </w:rPr>
        <w:t xml:space="preserve">ի 1-ին, 3-րդ, 4-րդ, 5-րդ, 9-րդ և 10-րդ կետերով </w:t>
      </w:r>
      <w:r w:rsidR="002E3534" w:rsidRPr="008F7373">
        <w:rPr>
          <w:rFonts w:ascii="GHEA Grapalat" w:hAnsi="GHEA Grapalat"/>
          <w:sz w:val="24"/>
          <w:szCs w:val="24"/>
        </w:rPr>
        <w:t>սահմանված բնակչության խմբերի համար</w:t>
      </w:r>
      <w:r w:rsidR="000E7771" w:rsidRPr="008F7373">
        <w:rPr>
          <w:rFonts w:ascii="GHEA Grapalat" w:hAnsi="GHEA Grapalat"/>
          <w:sz w:val="24"/>
          <w:szCs w:val="24"/>
        </w:rPr>
        <w:t xml:space="preserve"> </w:t>
      </w:r>
      <w:r w:rsidR="002E3534" w:rsidRPr="008F7373">
        <w:rPr>
          <w:rFonts w:ascii="GHEA Grapalat" w:hAnsi="GHEA Grapalat"/>
          <w:sz w:val="24"/>
          <w:szCs w:val="24"/>
        </w:rPr>
        <w:t>«Առողջության համընդհանուր ապահովագրության մասին» օրենքի</w:t>
      </w:r>
      <w:r w:rsidR="000E7771" w:rsidRPr="008F7373">
        <w:rPr>
          <w:rFonts w:ascii="GHEA Grapalat" w:hAnsi="GHEA Grapalat"/>
          <w:sz w:val="24"/>
          <w:szCs w:val="24"/>
        </w:rPr>
        <w:t xml:space="preserve"> </w:t>
      </w:r>
      <w:r w:rsidR="002E3534" w:rsidRPr="008F7373">
        <w:rPr>
          <w:rFonts w:ascii="GHEA Grapalat" w:hAnsi="GHEA Grapalat"/>
          <w:sz w:val="24"/>
          <w:szCs w:val="24"/>
        </w:rPr>
        <w:t>ուժի մեջ մտնելու և սույն որոշման N 5 հավել</w:t>
      </w:r>
      <w:r w:rsidR="000E7771" w:rsidRPr="008F7373">
        <w:rPr>
          <w:rFonts w:ascii="GHEA Grapalat" w:hAnsi="GHEA Grapalat"/>
          <w:sz w:val="24"/>
          <w:szCs w:val="24"/>
        </w:rPr>
        <w:t>վա</w:t>
      </w:r>
      <w:r w:rsidR="002E3534" w:rsidRPr="008F7373">
        <w:rPr>
          <w:rFonts w:ascii="GHEA Grapalat" w:hAnsi="GHEA Grapalat"/>
          <w:sz w:val="24"/>
          <w:szCs w:val="24"/>
        </w:rPr>
        <w:t>ծո</w:t>
      </w:r>
      <w:r w:rsidR="000E7771" w:rsidRPr="008F7373">
        <w:rPr>
          <w:rFonts w:ascii="GHEA Grapalat" w:hAnsi="GHEA Grapalat"/>
          <w:sz w:val="24"/>
          <w:szCs w:val="24"/>
        </w:rPr>
        <w:t>վ</w:t>
      </w:r>
      <w:r w:rsidR="002A0708">
        <w:rPr>
          <w:rFonts w:ascii="GHEA Grapalat" w:hAnsi="GHEA Grapalat"/>
          <w:sz w:val="24"/>
          <w:szCs w:val="24"/>
        </w:rPr>
        <w:t xml:space="preserve"> </w:t>
      </w:r>
      <w:r w:rsidR="000E7771" w:rsidRPr="008F7373">
        <w:rPr>
          <w:rFonts w:ascii="GHEA Grapalat" w:hAnsi="GHEA Grapalat"/>
          <w:sz w:val="24"/>
          <w:szCs w:val="24"/>
        </w:rPr>
        <w:t>հաստատված հատուցման կարգի ամբողջական գործարկման պահից</w:t>
      </w:r>
      <w:r w:rsidR="008F7373" w:rsidRPr="008F7373">
        <w:rPr>
          <w:rFonts w:ascii="GHEA Grapalat" w:hAnsi="GHEA Grapalat"/>
          <w:sz w:val="24"/>
          <w:szCs w:val="24"/>
        </w:rPr>
        <w:t>.</w:t>
      </w:r>
    </w:p>
    <w:p w14:paraId="2504D8B4" w14:textId="6424FBA3" w:rsidR="008F7373" w:rsidRPr="008F7373" w:rsidRDefault="008F7373" w:rsidP="009659DA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8F7373">
        <w:rPr>
          <w:rFonts w:ascii="GHEA Grapalat" w:hAnsi="GHEA Grapalat"/>
          <w:sz w:val="24"/>
          <w:szCs w:val="24"/>
        </w:rPr>
        <w:t>2) 1-ին կետի 1-ին ենթակետով հաստատվող N 1 հավելվածի 2-րդ կետի 4-րդ և 5-րդ ենթակետերով և 3-րդ կետով սահմանված` 65 և բարձր տարիքի շահառուների մասով դեղերի հատուցումն իրականացվելու է</w:t>
      </w:r>
      <w:r w:rsidR="00CA54C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7373">
        <w:rPr>
          <w:rFonts w:ascii="GHEA Grapalat" w:hAnsi="GHEA Grapalat"/>
          <w:sz w:val="24"/>
          <w:szCs w:val="24"/>
        </w:rPr>
        <w:t xml:space="preserve">«Առողջության համընդհանուր ապահովագրության մասին» օրենքի 11-րդ հոդվածի 2-րդ մասի 2-րդ կետով սահմանված բնակչության խմբերի համար «Առողջության համընդհանուր </w:t>
      </w:r>
      <w:r w:rsidRPr="008F7373">
        <w:rPr>
          <w:rFonts w:ascii="GHEA Grapalat" w:hAnsi="GHEA Grapalat"/>
          <w:sz w:val="24"/>
          <w:szCs w:val="24"/>
        </w:rPr>
        <w:lastRenderedPageBreak/>
        <w:t>ապահովագրության մասին» օրենքի ուժի մեջ մտնելու և սույն որոշման N 5 հավելվածով</w:t>
      </w:r>
      <w:r w:rsidR="002A0708">
        <w:rPr>
          <w:rFonts w:ascii="GHEA Grapalat" w:hAnsi="GHEA Grapalat"/>
          <w:sz w:val="24"/>
          <w:szCs w:val="24"/>
        </w:rPr>
        <w:t xml:space="preserve"> </w:t>
      </w:r>
      <w:r w:rsidRPr="008F7373">
        <w:rPr>
          <w:rFonts w:ascii="GHEA Grapalat" w:hAnsi="GHEA Grapalat"/>
          <w:sz w:val="24"/>
          <w:szCs w:val="24"/>
        </w:rPr>
        <w:t>հաստատված հատուցման կարգի ամբողջական գործարկման պահից</w:t>
      </w:r>
      <w:r>
        <w:rPr>
          <w:rFonts w:ascii="GHEA Grapalat" w:hAnsi="GHEA Grapalat"/>
          <w:sz w:val="24"/>
          <w:szCs w:val="24"/>
        </w:rPr>
        <w:t>:</w:t>
      </w:r>
    </w:p>
    <w:p w14:paraId="255392C6" w14:textId="73F4DCAD" w:rsidR="00EE2862" w:rsidRPr="008E0183" w:rsidRDefault="00EE2862" w:rsidP="008E0183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</w:rPr>
      </w:pPr>
      <w:r w:rsidRPr="00EE2862">
        <w:rPr>
          <w:rFonts w:ascii="GHEA Grapalat" w:eastAsia="Times New Roman" w:hAnsi="GHEA Grapalat" w:cs="Arial"/>
          <w:color w:val="000000" w:themeColor="text1"/>
          <w:sz w:val="24"/>
          <w:szCs w:val="24"/>
        </w:rPr>
        <w:t>8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</w:rPr>
        <w:t xml:space="preserve">. </w:t>
      </w:r>
      <w:r w:rsidRPr="004474F3">
        <w:rPr>
          <w:rFonts w:ascii="GHEA Grapalat" w:hAnsi="GHEA Grapalat"/>
          <w:sz w:val="24"/>
          <w:szCs w:val="24"/>
        </w:rPr>
        <w:t>Սույն որոշման</w:t>
      </w:r>
      <w:r>
        <w:rPr>
          <w:rFonts w:ascii="GHEA Grapalat" w:hAnsi="GHEA Grapalat"/>
          <w:sz w:val="24"/>
          <w:szCs w:val="24"/>
        </w:rPr>
        <w:t xml:space="preserve"> 1-ին կետի 4-րդ ենթակետի</w:t>
      </w:r>
      <w:r w:rsidRPr="004474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և </w:t>
      </w:r>
      <w:r w:rsidRPr="0039753A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>4</w:t>
      </w:r>
      <w:r w:rsidRPr="0039753A">
        <w:rPr>
          <w:rFonts w:ascii="GHEA Grapalat" w:hAnsi="GHEA Grapalat"/>
          <w:sz w:val="24"/>
          <w:szCs w:val="24"/>
        </w:rPr>
        <w:t xml:space="preserve"> հավելված</w:t>
      </w:r>
      <w:r>
        <w:rPr>
          <w:rFonts w:ascii="GHEA Grapalat" w:hAnsi="GHEA Grapalat"/>
          <w:sz w:val="24"/>
          <w:szCs w:val="24"/>
        </w:rPr>
        <w:t>ի</w:t>
      </w:r>
      <w:r w:rsidRPr="0039753A">
        <w:rPr>
          <w:rFonts w:ascii="GHEA Grapalat" w:hAnsi="GHEA Grapalat"/>
          <w:sz w:val="24"/>
          <w:szCs w:val="24"/>
        </w:rPr>
        <w:t xml:space="preserve"> </w:t>
      </w:r>
      <w:r w:rsidRPr="004474F3">
        <w:rPr>
          <w:rFonts w:ascii="GHEA Grapalat" w:hAnsi="GHEA Grapalat"/>
          <w:sz w:val="24"/>
          <w:szCs w:val="24"/>
        </w:rPr>
        <w:t>գործողությունը տարածվում է 2025 թվականի դեկտեմբերի 1-ից ծագած հարաբերությունների վրա</w:t>
      </w:r>
      <w:r>
        <w:rPr>
          <w:rFonts w:ascii="GHEA Grapalat" w:hAnsi="GHEA Grapalat"/>
          <w:sz w:val="24"/>
          <w:szCs w:val="24"/>
        </w:rPr>
        <w:t xml:space="preserve">` </w:t>
      </w:r>
      <w:r w:rsidRPr="0039753A">
        <w:rPr>
          <w:rFonts w:ascii="GHEA Grapalat" w:hAnsi="GHEA Grapalat"/>
          <w:sz w:val="24"/>
          <w:szCs w:val="24"/>
        </w:rPr>
        <w:t>Հ</w:t>
      </w:r>
      <w:r w:rsidRPr="0039753A">
        <w:rPr>
          <w:rFonts w:ascii="GHEA Grapalat" w:eastAsia="Times New Roman" w:hAnsi="GHEA Grapalat" w:cs="Arial"/>
          <w:sz w:val="24"/>
          <w:szCs w:val="24"/>
        </w:rPr>
        <w:t>այաստանի Հանրապետության կառավարության 2019 թվականի մայիսի 30-ի</w:t>
      </w:r>
      <w:r w:rsidRPr="0039753A">
        <w:rPr>
          <w:rFonts w:ascii="GHEA Grapalat" w:hAnsi="GHEA Grapalat"/>
          <w:sz w:val="24"/>
          <w:szCs w:val="24"/>
        </w:rPr>
        <w:t xml:space="preserve"> </w:t>
      </w:r>
      <w:r w:rsidRPr="0039753A">
        <w:rPr>
          <w:rFonts w:ascii="GHEA Grapalat" w:eastAsia="Times New Roman" w:hAnsi="GHEA Grapalat" w:cs="Arial"/>
          <w:color w:val="000000" w:themeColor="text1"/>
          <w:sz w:val="24"/>
          <w:szCs w:val="24"/>
        </w:rPr>
        <w:t>N 642-Ն որոշման N 1 հավելվածի մասով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</w:rPr>
        <w:t xml:space="preserve"> հաստատված </w:t>
      </w:r>
      <w:r w:rsidRPr="00A222AA">
        <w:rPr>
          <w:rFonts w:ascii="GHEA Grapalat" w:hAnsi="GHEA Grapalat"/>
          <w:sz w:val="24"/>
          <w:szCs w:val="24"/>
        </w:rPr>
        <w:t>բնակչության սոցիալական կամ հատուկ խմբերի ցանկ</w:t>
      </w:r>
      <w:r>
        <w:rPr>
          <w:rFonts w:ascii="GHEA Grapalat" w:hAnsi="GHEA Grapalat"/>
          <w:sz w:val="24"/>
          <w:szCs w:val="24"/>
        </w:rPr>
        <w:t xml:space="preserve">ում </w:t>
      </w:r>
      <w:r w:rsidRPr="00A222AA">
        <w:rPr>
          <w:rFonts w:ascii="GHEA Grapalat" w:hAnsi="GHEA Grapalat"/>
          <w:sz w:val="24"/>
          <w:szCs w:val="24"/>
        </w:rPr>
        <w:t>ընդգրկված շահառուներին</w:t>
      </w:r>
      <w:r>
        <w:rPr>
          <w:rFonts w:ascii="GHEA Grapalat" w:hAnsi="GHEA Grapalat"/>
          <w:sz w:val="24"/>
          <w:szCs w:val="24"/>
        </w:rPr>
        <w:t>:</w:t>
      </w:r>
    </w:p>
    <w:p w14:paraId="0FABFCCD" w14:textId="33448DF5" w:rsidR="005E3B6E" w:rsidRDefault="00EE2862" w:rsidP="00EE2862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EE2862">
        <w:rPr>
          <w:rFonts w:ascii="GHEA Grapalat" w:hAnsi="GHEA Grapalat"/>
          <w:sz w:val="24"/>
          <w:szCs w:val="24"/>
        </w:rPr>
        <w:t>9</w:t>
      </w:r>
      <w:r w:rsidR="005E3B6E">
        <w:rPr>
          <w:rFonts w:ascii="GHEA Grapalat" w:hAnsi="GHEA Grapalat"/>
          <w:sz w:val="24"/>
          <w:szCs w:val="24"/>
        </w:rPr>
        <w:t xml:space="preserve">. </w:t>
      </w:r>
      <w:r w:rsidR="00DE7E2E">
        <w:rPr>
          <w:rFonts w:ascii="GHEA Grapalat" w:hAnsi="GHEA Grapalat"/>
          <w:sz w:val="24"/>
          <w:szCs w:val="24"/>
        </w:rPr>
        <w:t>Սահմանել, որ ս</w:t>
      </w:r>
      <w:r w:rsidR="005E3B6E">
        <w:rPr>
          <w:rFonts w:ascii="GHEA Grapalat" w:hAnsi="GHEA Grapalat"/>
          <w:sz w:val="24"/>
          <w:szCs w:val="24"/>
        </w:rPr>
        <w:t xml:space="preserve">ույն որոշմամբ </w:t>
      </w:r>
      <w:r w:rsidR="005E3B6E" w:rsidRPr="00DE7E2E">
        <w:rPr>
          <w:rFonts w:ascii="GHEA Grapalat" w:hAnsi="GHEA Grapalat"/>
          <w:sz w:val="24"/>
          <w:szCs w:val="24"/>
        </w:rPr>
        <w:t>Առողջության համընդհանուր ապահովագրության հիմնադրամին վերապահված գործառույթներն իրականացնում է ՀՀ ԱՆ պետական առողջապահության գործակալությունը` մինչև Հիմնադրամի պետական գրանցումը:</w:t>
      </w:r>
    </w:p>
    <w:p w14:paraId="4062290B" w14:textId="10CD5554" w:rsidR="00AB1E3B" w:rsidRDefault="00AB1E3B" w:rsidP="00F677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304F3230" w14:textId="69451787" w:rsidR="00AB1E3B" w:rsidRDefault="00AB1E3B" w:rsidP="00F677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35479607" w14:textId="77777777" w:rsidR="00AB1E3B" w:rsidRDefault="00AB1E3B" w:rsidP="00F677ED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</w:p>
    <w:p w14:paraId="16535D7E" w14:textId="77777777" w:rsidR="00AB1E3B" w:rsidRDefault="00AB1E3B" w:rsidP="00F677ED">
      <w:pPr>
        <w:shd w:val="clear" w:color="auto" w:fill="FFFFFF"/>
        <w:tabs>
          <w:tab w:val="left" w:pos="5585"/>
        </w:tabs>
        <w:spacing w:after="0" w:line="360" w:lineRule="auto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 xml:space="preserve">Հայաստանի Հանրապետության </w:t>
      </w:r>
    </w:p>
    <w:p w14:paraId="6DE2EE85" w14:textId="0B9FF27F" w:rsidR="008F7373" w:rsidRDefault="00AB1E3B" w:rsidP="002A0708">
      <w:pPr>
        <w:shd w:val="clear" w:color="auto" w:fill="FFFFFF"/>
        <w:tabs>
          <w:tab w:val="left" w:pos="5585"/>
        </w:tabs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Վարչապետ</w:t>
      </w:r>
      <w:r w:rsidR="002A0708"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en-US"/>
        </w:rPr>
        <w:t xml:space="preserve"> </w:t>
      </w:r>
      <w:r w:rsidR="002A0708"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en-US"/>
        </w:rPr>
        <w:tab/>
      </w:r>
      <w:r w:rsidR="002A0708"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en-US"/>
        </w:rPr>
        <w:tab/>
      </w:r>
      <w:r w:rsidR="002A0708"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en-US"/>
        </w:rPr>
        <w:tab/>
      </w:r>
      <w:r w:rsidR="002A0708"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en-US"/>
        </w:rPr>
        <w:tab/>
      </w:r>
      <w:r w:rsidRPr="00804C8E"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Ն. Փաշինյան</w:t>
      </w:r>
    </w:p>
    <w:sectPr w:rsidR="008F7373" w:rsidSect="002A0708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B53"/>
    <w:multiLevelType w:val="hybridMultilevel"/>
    <w:tmpl w:val="9042A7D2"/>
    <w:lvl w:ilvl="0" w:tplc="F6CC70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B000643"/>
    <w:multiLevelType w:val="hybridMultilevel"/>
    <w:tmpl w:val="30D487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DF"/>
    <w:rsid w:val="000025DF"/>
    <w:rsid w:val="00033EC9"/>
    <w:rsid w:val="00083093"/>
    <w:rsid w:val="000C61B0"/>
    <w:rsid w:val="000D12DE"/>
    <w:rsid w:val="000E7771"/>
    <w:rsid w:val="001337F6"/>
    <w:rsid w:val="00185ACC"/>
    <w:rsid w:val="001A519E"/>
    <w:rsid w:val="00223F24"/>
    <w:rsid w:val="002317E4"/>
    <w:rsid w:val="00254CFE"/>
    <w:rsid w:val="00256EEB"/>
    <w:rsid w:val="002A0708"/>
    <w:rsid w:val="002E3534"/>
    <w:rsid w:val="002E582B"/>
    <w:rsid w:val="0033066A"/>
    <w:rsid w:val="003415A1"/>
    <w:rsid w:val="0036631E"/>
    <w:rsid w:val="0038544C"/>
    <w:rsid w:val="0039753A"/>
    <w:rsid w:val="003A66F6"/>
    <w:rsid w:val="003E11F7"/>
    <w:rsid w:val="003E4E6F"/>
    <w:rsid w:val="004474F3"/>
    <w:rsid w:val="00496337"/>
    <w:rsid w:val="005005BE"/>
    <w:rsid w:val="00526F93"/>
    <w:rsid w:val="00537387"/>
    <w:rsid w:val="00585458"/>
    <w:rsid w:val="005A170E"/>
    <w:rsid w:val="005B308E"/>
    <w:rsid w:val="005D0A19"/>
    <w:rsid w:val="005D2FEA"/>
    <w:rsid w:val="005E3B6E"/>
    <w:rsid w:val="006154E4"/>
    <w:rsid w:val="00630F6E"/>
    <w:rsid w:val="00683CB3"/>
    <w:rsid w:val="006B1057"/>
    <w:rsid w:val="00713095"/>
    <w:rsid w:val="00716021"/>
    <w:rsid w:val="00743F66"/>
    <w:rsid w:val="007766D3"/>
    <w:rsid w:val="007767F4"/>
    <w:rsid w:val="007A6EDD"/>
    <w:rsid w:val="007F26CB"/>
    <w:rsid w:val="007F5007"/>
    <w:rsid w:val="00804C8E"/>
    <w:rsid w:val="00842069"/>
    <w:rsid w:val="008A3CD5"/>
    <w:rsid w:val="008E0183"/>
    <w:rsid w:val="008E4EF1"/>
    <w:rsid w:val="008F7373"/>
    <w:rsid w:val="00907CF4"/>
    <w:rsid w:val="00913475"/>
    <w:rsid w:val="009334FA"/>
    <w:rsid w:val="00943D5A"/>
    <w:rsid w:val="00953F4C"/>
    <w:rsid w:val="009602FF"/>
    <w:rsid w:val="009659DA"/>
    <w:rsid w:val="00997490"/>
    <w:rsid w:val="009C151C"/>
    <w:rsid w:val="009F153B"/>
    <w:rsid w:val="00A11031"/>
    <w:rsid w:val="00A1468F"/>
    <w:rsid w:val="00A222AA"/>
    <w:rsid w:val="00A35D74"/>
    <w:rsid w:val="00A52EC3"/>
    <w:rsid w:val="00AA3790"/>
    <w:rsid w:val="00AB1E3B"/>
    <w:rsid w:val="00AC43C8"/>
    <w:rsid w:val="00AD3CC2"/>
    <w:rsid w:val="00B020B2"/>
    <w:rsid w:val="00B04C68"/>
    <w:rsid w:val="00B065B3"/>
    <w:rsid w:val="00B1585F"/>
    <w:rsid w:val="00B33C05"/>
    <w:rsid w:val="00BF1ED7"/>
    <w:rsid w:val="00C17D7B"/>
    <w:rsid w:val="00C40721"/>
    <w:rsid w:val="00C76965"/>
    <w:rsid w:val="00C976A7"/>
    <w:rsid w:val="00CA54CB"/>
    <w:rsid w:val="00CA5DCE"/>
    <w:rsid w:val="00CB3213"/>
    <w:rsid w:val="00CC0E27"/>
    <w:rsid w:val="00CD0CA4"/>
    <w:rsid w:val="00CD138F"/>
    <w:rsid w:val="00CD4975"/>
    <w:rsid w:val="00CD6645"/>
    <w:rsid w:val="00D038EB"/>
    <w:rsid w:val="00D06296"/>
    <w:rsid w:val="00D36CD0"/>
    <w:rsid w:val="00D75165"/>
    <w:rsid w:val="00DE2AB1"/>
    <w:rsid w:val="00DE4859"/>
    <w:rsid w:val="00DE669A"/>
    <w:rsid w:val="00DE7E2E"/>
    <w:rsid w:val="00DF4026"/>
    <w:rsid w:val="00E077BC"/>
    <w:rsid w:val="00E61DAF"/>
    <w:rsid w:val="00E71649"/>
    <w:rsid w:val="00E838EA"/>
    <w:rsid w:val="00E84219"/>
    <w:rsid w:val="00E918E8"/>
    <w:rsid w:val="00E95148"/>
    <w:rsid w:val="00EE2862"/>
    <w:rsid w:val="00F31246"/>
    <w:rsid w:val="00F31E10"/>
    <w:rsid w:val="00F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DBAE"/>
  <w15:chartTrackingRefBased/>
  <w15:docId w15:val="{8BA2D4EE-D7A4-4F2F-A932-F6DBDFC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49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8544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83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CB3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B3"/>
    <w:rPr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3981-52C0-4B56-B1FD-99D741B4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Hayrapetyan</dc:creator>
  <cp:keywords/>
  <dc:description/>
  <cp:lastModifiedBy>Araqsya Hambardzumyan</cp:lastModifiedBy>
  <cp:revision>2</cp:revision>
  <cp:lastPrinted>2025-12-16T12:40:00Z</cp:lastPrinted>
  <dcterms:created xsi:type="dcterms:W3CDTF">2025-12-17T12:31:00Z</dcterms:created>
  <dcterms:modified xsi:type="dcterms:W3CDTF">2025-12-17T12:31:00Z</dcterms:modified>
</cp:coreProperties>
</file>